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DF9A" w14:textId="77777777" w:rsidR="00712414" w:rsidRDefault="00712414" w:rsidP="00712414">
      <w:pPr>
        <w:spacing w:after="200" w:line="276" w:lineRule="auto"/>
        <w:rPr>
          <w:rFonts w:ascii="Arial" w:eastAsia="Arial" w:hAnsi="Arial" w:cs="Arial"/>
          <w:b/>
          <w:color w:val="007DB1"/>
          <w:sz w:val="24"/>
        </w:rPr>
      </w:pPr>
      <w:r>
        <w:rPr>
          <w:rFonts w:ascii="Arial" w:eastAsia="Arial" w:hAnsi="Arial" w:cs="Arial"/>
          <w:b/>
          <w:color w:val="007DB1"/>
          <w:sz w:val="24"/>
        </w:rPr>
        <w:t>Section I</w:t>
      </w:r>
    </w:p>
    <w:p w14:paraId="33ADDFDA" w14:textId="77777777" w:rsidR="00712414" w:rsidRDefault="00712414" w:rsidP="00712414">
      <w:pPr>
        <w:spacing w:after="200" w:line="276" w:lineRule="auto"/>
        <w:rPr>
          <w:rFonts w:ascii="Arial" w:eastAsia="Arial" w:hAnsi="Arial" w:cs="Arial"/>
          <w:b/>
          <w:color w:val="007DB1"/>
          <w:sz w:val="24"/>
        </w:rPr>
      </w:pPr>
      <w:r>
        <w:rPr>
          <w:rFonts w:ascii="Arial" w:eastAsia="Arial" w:hAnsi="Arial" w:cs="Arial"/>
          <w:b/>
          <w:color w:val="007DB1"/>
          <w:sz w:val="24"/>
        </w:rPr>
        <w:t>RCVS Advanced Practitioners</w:t>
      </w:r>
    </w:p>
    <w:p w14:paraId="30717DEC" w14:textId="77777777" w:rsidR="00712414" w:rsidRDefault="00712414" w:rsidP="00712414">
      <w:pPr>
        <w:spacing w:after="200" w:line="276" w:lineRule="auto"/>
        <w:rPr>
          <w:rFonts w:ascii="Arial" w:eastAsia="Arial" w:hAnsi="Arial" w:cs="Arial"/>
          <w:b/>
          <w:color w:val="007DB1"/>
          <w:sz w:val="24"/>
        </w:rPr>
      </w:pPr>
      <w:r>
        <w:rPr>
          <w:rFonts w:ascii="Arial" w:eastAsia="Arial" w:hAnsi="Arial" w:cs="Arial"/>
          <w:b/>
          <w:color w:val="007DB1"/>
          <w:sz w:val="24"/>
        </w:rPr>
        <w:t>Clinical Governance</w:t>
      </w:r>
    </w:p>
    <w:p w14:paraId="7F6130EC" w14:textId="77777777" w:rsidR="00211179" w:rsidRDefault="00211179" w:rsidP="00211179">
      <w:pPr>
        <w:spacing w:after="200" w:line="300" w:lineRule="atLeast"/>
        <w:contextualSpacing/>
        <w:rPr>
          <w:rFonts w:ascii="Arial" w:eastAsia="Calibri" w:hAnsi="Arial" w:cs="Arial"/>
          <w:color w:val="000000"/>
          <w:sz w:val="20"/>
          <w:shd w:val="clear" w:color="auto" w:fill="FFFFFF"/>
          <w:lang w:eastAsia="en-US"/>
        </w:rPr>
      </w:pPr>
      <w:r w:rsidRPr="00246340">
        <w:rPr>
          <w:rFonts w:ascii="Arial" w:eastAsia="Calibri" w:hAnsi="Arial" w:cs="Arial"/>
          <w:color w:val="000000"/>
          <w:sz w:val="20"/>
          <w:shd w:val="clear" w:color="auto" w:fill="FFFFFF"/>
          <w:lang w:eastAsia="en-US"/>
        </w:rPr>
        <w:t>According to Scally and Donaldson 1998, nearly 25 years ago, “</w:t>
      </w:r>
      <w:r w:rsidRPr="00246340">
        <w:rPr>
          <w:rFonts w:ascii="Arial" w:eastAsia="Calibri" w:hAnsi="Arial" w:cs="Arial"/>
          <w:i/>
          <w:iCs/>
          <w:color w:val="000000"/>
          <w:sz w:val="20"/>
          <w:shd w:val="clear" w:color="auto" w:fill="FFFFFF"/>
          <w:lang w:eastAsia="en-US"/>
        </w:rPr>
        <w:t>Clinical governance is a system through which [healthcare] organisations are accountable for continuously improving the quality of their services and safeguarding high standards of care by creating an environment in which excellence in clinical care will flourish</w:t>
      </w:r>
      <w:r w:rsidRPr="00246340">
        <w:rPr>
          <w:rFonts w:ascii="Arial" w:eastAsia="Calibri" w:hAnsi="Arial" w:cs="Arial"/>
          <w:color w:val="000000"/>
          <w:sz w:val="20"/>
          <w:shd w:val="clear" w:color="auto" w:fill="FFFFFF"/>
          <w:lang w:eastAsia="en-US"/>
        </w:rPr>
        <w:t xml:space="preserve">”.  This will involve review and enhancement of the quality of services at individual, </w:t>
      </w:r>
      <w:proofErr w:type="gramStart"/>
      <w:r w:rsidRPr="00246340">
        <w:rPr>
          <w:rFonts w:ascii="Arial" w:eastAsia="Calibri" w:hAnsi="Arial" w:cs="Arial"/>
          <w:color w:val="000000"/>
          <w:sz w:val="20"/>
          <w:shd w:val="clear" w:color="auto" w:fill="FFFFFF"/>
          <w:lang w:eastAsia="en-US"/>
        </w:rPr>
        <w:t>team</w:t>
      </w:r>
      <w:proofErr w:type="gramEnd"/>
      <w:r w:rsidRPr="00246340">
        <w:rPr>
          <w:rFonts w:ascii="Arial" w:eastAsia="Calibri" w:hAnsi="Arial" w:cs="Arial"/>
          <w:color w:val="000000"/>
          <w:sz w:val="20"/>
          <w:shd w:val="clear" w:color="auto" w:fill="FFFFFF"/>
          <w:lang w:eastAsia="en-US"/>
        </w:rPr>
        <w:t xml:space="preserve"> and organisational levels, and requires either qualitative or quantitative comparisons to be made.  </w:t>
      </w:r>
    </w:p>
    <w:p w14:paraId="4E9EC9F7" w14:textId="77777777" w:rsidR="00211179" w:rsidRDefault="00211179" w:rsidP="00211179">
      <w:pPr>
        <w:spacing w:after="200" w:line="300" w:lineRule="atLeast"/>
        <w:contextualSpacing/>
        <w:rPr>
          <w:rFonts w:ascii="Arial" w:eastAsia="Calibri" w:hAnsi="Arial" w:cs="Arial"/>
          <w:color w:val="000000"/>
          <w:sz w:val="20"/>
          <w:shd w:val="clear" w:color="auto" w:fill="FFFFFF"/>
          <w:lang w:eastAsia="en-US"/>
        </w:rPr>
      </w:pPr>
      <w:r w:rsidRPr="00246340">
        <w:rPr>
          <w:rFonts w:ascii="Arial" w:eastAsia="Calibri" w:hAnsi="Arial" w:cs="Arial"/>
          <w:color w:val="000000"/>
          <w:sz w:val="20"/>
          <w:shd w:val="clear" w:color="auto" w:fill="FFFFFF"/>
          <w:lang w:eastAsia="en-US"/>
        </w:rPr>
        <w:t xml:space="preserve">As completion of CPD on its own would not provide evidence of benefits for patients/clients, more is required if CPD is being used as a Clinical Governance example.  For instance, candidates may have observed poorer outcomes than published figures for </w:t>
      </w:r>
      <w:proofErr w:type="gramStart"/>
      <w:r w:rsidRPr="00246340">
        <w:rPr>
          <w:rFonts w:ascii="Arial" w:eastAsia="Calibri" w:hAnsi="Arial" w:cs="Arial"/>
          <w:color w:val="000000"/>
          <w:sz w:val="20"/>
          <w:shd w:val="clear" w:color="auto" w:fill="FFFFFF"/>
          <w:lang w:eastAsia="en-US"/>
        </w:rPr>
        <w:t>particular types</w:t>
      </w:r>
      <w:proofErr w:type="gramEnd"/>
      <w:r w:rsidRPr="00246340">
        <w:rPr>
          <w:rFonts w:ascii="Arial" w:eastAsia="Calibri" w:hAnsi="Arial" w:cs="Arial"/>
          <w:color w:val="000000"/>
          <w:sz w:val="20"/>
          <w:shd w:val="clear" w:color="auto" w:fill="FFFFFF"/>
          <w:lang w:eastAsia="en-US"/>
        </w:rPr>
        <w:t xml:space="preserve"> of cases in the field in which they are seeking designated Advanced Practitioner status.  Then they may identify and undertake relevant CPD and through reflection create a plan of action involving changes to the original treatment.  Finally, they would audit the results of the revised protocol to confirm an improvement in outcomes.  Similarly, reports of Morbidity and Mortality Rounds, and revision of treatment protocols, in isolation, do not guarantee changed clinician/team behaviours.  Either evidence of adherence to those protocols in clinical records or improved patient outcomes, and ideally both, would be needed in addition.</w:t>
      </w:r>
    </w:p>
    <w:p w14:paraId="34FC29B4" w14:textId="77777777" w:rsidR="00712414" w:rsidRPr="00211179" w:rsidRDefault="00712414" w:rsidP="00712414">
      <w:pPr>
        <w:spacing w:after="200" w:line="300" w:lineRule="atLeast"/>
        <w:contextualSpacing/>
        <w:rPr>
          <w:rFonts w:ascii="Arial" w:eastAsia="Arial" w:hAnsi="Arial" w:cs="Arial"/>
          <w:bCs/>
          <w:color w:val="007DB1"/>
          <w:sz w:val="14"/>
        </w:rPr>
      </w:pPr>
    </w:p>
    <w:p w14:paraId="48D8A067" w14:textId="1D5CFE97" w:rsidR="00712414" w:rsidRDefault="00211179" w:rsidP="00712414">
      <w:pPr>
        <w:spacing w:after="200" w:line="300" w:lineRule="atLeast"/>
        <w:contextualSpacing/>
        <w:rPr>
          <w:rFonts w:ascii="Arial" w:eastAsia="Arial" w:hAnsi="Arial" w:cs="Arial"/>
          <w:b/>
          <w:color w:val="007DB1"/>
          <w:sz w:val="14"/>
        </w:rPr>
      </w:pPr>
      <w:r>
        <w:rPr>
          <w:noProof/>
        </w:rPr>
        <w:drawing>
          <wp:inline distT="0" distB="0" distL="0" distR="0" wp14:anchorId="139FA653" wp14:editId="00DC85E1">
            <wp:extent cx="6112089" cy="3438525"/>
            <wp:effectExtent l="0" t="0" r="317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6115693" cy="3440553"/>
                    </a:xfrm>
                    <a:prstGeom prst="rect">
                      <a:avLst/>
                    </a:prstGeom>
                  </pic:spPr>
                </pic:pic>
              </a:graphicData>
            </a:graphic>
          </wp:inline>
        </w:drawing>
      </w:r>
    </w:p>
    <w:p w14:paraId="5094408E" w14:textId="77777777" w:rsidR="00211179" w:rsidRDefault="00211179" w:rsidP="00211179">
      <w:pPr>
        <w:spacing w:after="200" w:line="300" w:lineRule="atLeast"/>
        <w:contextualSpacing/>
        <w:rPr>
          <w:rFonts w:ascii="Arial" w:eastAsia="Calibri" w:hAnsi="Arial" w:cs="Arial"/>
          <w:color w:val="000000"/>
          <w:sz w:val="20"/>
          <w:shd w:val="clear" w:color="auto" w:fill="FFFFFF"/>
          <w:lang w:eastAsia="en-US"/>
        </w:rPr>
      </w:pPr>
    </w:p>
    <w:p w14:paraId="084EC609" w14:textId="043717AF" w:rsidR="00211179" w:rsidRDefault="00211179" w:rsidP="00211179">
      <w:pPr>
        <w:spacing w:after="200" w:line="300" w:lineRule="atLeast"/>
        <w:contextualSpacing/>
        <w:rPr>
          <w:rFonts w:ascii="Arial" w:eastAsia="Calibri" w:hAnsi="Arial" w:cs="Arial"/>
          <w:color w:val="000000"/>
          <w:sz w:val="20"/>
          <w:shd w:val="clear" w:color="auto" w:fill="FFFFFF"/>
          <w:lang w:eastAsia="en-US"/>
        </w:rPr>
      </w:pPr>
      <w:r w:rsidRPr="00246340">
        <w:rPr>
          <w:rFonts w:ascii="Arial" w:eastAsia="Calibri" w:hAnsi="Arial" w:cs="Arial"/>
          <w:color w:val="000000"/>
          <w:sz w:val="20"/>
          <w:shd w:val="clear" w:color="auto" w:fill="FFFFFF"/>
          <w:lang w:eastAsia="en-US"/>
        </w:rPr>
        <w:t xml:space="preserve">Below are extracts from the Code of Conduct in relation to clinical governance. This is a guide to show you the types of activities that would be </w:t>
      </w:r>
      <w:r w:rsidRPr="00246340">
        <w:rPr>
          <w:rFonts w:ascii="Arial" w:eastAsia="Calibri" w:hAnsi="Arial" w:cs="Arial"/>
          <w:b/>
          <w:bCs/>
          <w:color w:val="000000"/>
          <w:sz w:val="20"/>
          <w:shd w:val="clear" w:color="auto" w:fill="FFFFFF"/>
          <w:lang w:eastAsia="en-US"/>
        </w:rPr>
        <w:t>elements of clinical governance cycles</w:t>
      </w:r>
      <w:r w:rsidRPr="00246340">
        <w:rPr>
          <w:rFonts w:ascii="Arial" w:eastAsia="Calibri" w:hAnsi="Arial" w:cs="Arial"/>
          <w:color w:val="000000"/>
          <w:sz w:val="20"/>
          <w:shd w:val="clear" w:color="auto" w:fill="FFFFFF"/>
          <w:lang w:eastAsia="en-US"/>
        </w:rPr>
        <w:t xml:space="preserve"> and should aid you in writing your statement.</w:t>
      </w:r>
    </w:p>
    <w:p w14:paraId="377CB5B0" w14:textId="77777777" w:rsidR="00211179" w:rsidRDefault="00211179" w:rsidP="00712414">
      <w:pPr>
        <w:spacing w:after="200" w:line="300" w:lineRule="atLeast"/>
        <w:contextualSpacing/>
        <w:rPr>
          <w:rFonts w:ascii="Arial" w:eastAsia="Arial" w:hAnsi="Arial" w:cs="Arial"/>
          <w:b/>
          <w:color w:val="007DB1"/>
          <w:sz w:val="14"/>
        </w:rPr>
      </w:pPr>
    </w:p>
    <w:p w14:paraId="74D39F59" w14:textId="77777777" w:rsidR="00211179" w:rsidRDefault="00211179" w:rsidP="00712414">
      <w:pPr>
        <w:spacing w:after="200" w:line="300" w:lineRule="atLeast"/>
        <w:contextualSpacing/>
        <w:rPr>
          <w:rFonts w:ascii="Arial" w:eastAsia="Arial" w:hAnsi="Arial" w:cs="Arial"/>
          <w:b/>
          <w:color w:val="007DB1"/>
          <w:sz w:val="14"/>
        </w:rPr>
      </w:pPr>
    </w:p>
    <w:p w14:paraId="398E6A3B" w14:textId="77777777" w:rsidR="00712414" w:rsidRPr="00E543A8" w:rsidRDefault="00712414" w:rsidP="00712414">
      <w:pPr>
        <w:spacing w:after="200" w:line="300" w:lineRule="atLeast"/>
        <w:contextualSpacing/>
        <w:rPr>
          <w:rFonts w:ascii="Arial" w:eastAsia="Calibri" w:hAnsi="Arial" w:cs="Arial"/>
          <w:b/>
          <w:color w:val="000000"/>
          <w:shd w:val="clear" w:color="auto" w:fill="FFFFFF"/>
          <w:lang w:eastAsia="en-US"/>
        </w:rPr>
      </w:pPr>
      <w:r w:rsidRPr="00E543A8">
        <w:rPr>
          <w:rFonts w:ascii="Arial" w:eastAsia="Calibri" w:hAnsi="Arial" w:cs="Arial"/>
          <w:b/>
          <w:color w:val="000000"/>
          <w:shd w:val="clear" w:color="auto" w:fill="FFFFFF"/>
          <w:lang w:eastAsia="en-US"/>
        </w:rPr>
        <w:lastRenderedPageBreak/>
        <w:t>Code of Professional Conduct for Veterinary Surgeons</w:t>
      </w:r>
    </w:p>
    <w:p w14:paraId="278E38F8" w14:textId="77777777" w:rsidR="00712414" w:rsidRPr="00E543A8" w:rsidRDefault="00712414" w:rsidP="00712414">
      <w:pPr>
        <w:spacing w:after="200" w:line="300" w:lineRule="atLeast"/>
        <w:contextualSpacing/>
        <w:rPr>
          <w:rFonts w:ascii="Arial" w:eastAsia="Calibri" w:hAnsi="Arial" w:cs="Times New Roman"/>
          <w:sz w:val="20"/>
          <w:szCs w:val="20"/>
          <w:lang w:eastAsia="en-US"/>
        </w:rPr>
      </w:pPr>
    </w:p>
    <w:p w14:paraId="162C4C47" w14:textId="77777777" w:rsidR="00712414" w:rsidRPr="00E543A8" w:rsidRDefault="00712414" w:rsidP="00712414">
      <w:pPr>
        <w:spacing w:after="200" w:line="300" w:lineRule="atLeast"/>
        <w:contextualSpacing/>
        <w:rPr>
          <w:rFonts w:ascii="Arial" w:eastAsia="Calibri" w:hAnsi="Arial" w:cs="Arial"/>
          <w:color w:val="000000"/>
          <w:sz w:val="20"/>
          <w:shd w:val="clear" w:color="auto" w:fill="FFFFFF"/>
          <w:lang w:eastAsia="en-US"/>
        </w:rPr>
      </w:pPr>
      <w:r w:rsidRPr="00E543A8">
        <w:rPr>
          <w:rFonts w:ascii="Arial" w:eastAsia="Calibri" w:hAnsi="Arial" w:cs="Arial"/>
          <w:color w:val="000000"/>
          <w:sz w:val="20"/>
          <w:shd w:val="clear" w:color="auto" w:fill="FFFFFF"/>
          <w:lang w:eastAsia="en-US"/>
        </w:rPr>
        <w:t>1.7 Veterinary surgeons must ensure that clinical governance forms part of their professional activities.</w:t>
      </w:r>
    </w:p>
    <w:p w14:paraId="3C76EC87" w14:textId="77777777" w:rsidR="00712414" w:rsidRPr="00E543A8" w:rsidRDefault="00712414" w:rsidP="00712414">
      <w:pPr>
        <w:spacing w:after="200" w:line="300" w:lineRule="atLeast"/>
        <w:contextualSpacing/>
        <w:rPr>
          <w:rFonts w:ascii="Arial" w:eastAsia="Calibri" w:hAnsi="Arial" w:cs="Arial"/>
          <w:color w:val="000000"/>
          <w:sz w:val="20"/>
          <w:shd w:val="clear" w:color="auto" w:fill="FFFFFF"/>
          <w:lang w:eastAsia="en-US"/>
        </w:rPr>
      </w:pPr>
    </w:p>
    <w:p w14:paraId="395CBB61" w14:textId="77777777" w:rsidR="00712414" w:rsidRPr="00E543A8" w:rsidRDefault="00712414" w:rsidP="00712414">
      <w:pPr>
        <w:spacing w:after="200" w:line="260" w:lineRule="atLeast"/>
        <w:contextualSpacing/>
        <w:rPr>
          <w:rFonts w:ascii="Arial" w:eastAsia="Calibri" w:hAnsi="Arial" w:cs="Arial"/>
          <w:color w:val="000000"/>
          <w:sz w:val="20"/>
          <w:shd w:val="clear" w:color="auto" w:fill="FFFFFF"/>
          <w:lang w:eastAsia="en-US"/>
        </w:rPr>
      </w:pPr>
      <w:r w:rsidRPr="00E543A8">
        <w:rPr>
          <w:rFonts w:ascii="Arial" w:eastAsia="Calibri" w:hAnsi="Arial" w:cs="Arial"/>
          <w:color w:val="000000"/>
          <w:sz w:val="20"/>
          <w:shd w:val="clear" w:color="auto" w:fill="FFFFFF"/>
          <w:lang w:eastAsia="en-US"/>
        </w:rPr>
        <w:t>6.1 </w:t>
      </w:r>
      <w:r w:rsidRPr="006A5545">
        <w:rPr>
          <w:rFonts w:ascii="Arial" w:eastAsia="Calibri" w:hAnsi="Arial" w:cs="Times New Roman"/>
          <w:bCs/>
          <w:sz w:val="20"/>
          <w:shd w:val="clear" w:color="auto" w:fill="FFFFFF"/>
          <w:lang w:eastAsia="en-US"/>
        </w:rPr>
        <w:t>Clinical</w:t>
      </w:r>
      <w:r w:rsidRPr="00E543A8">
        <w:rPr>
          <w:rFonts w:ascii="Arial" w:eastAsia="Calibri" w:hAnsi="Arial" w:cs="Arial"/>
          <w:color w:val="000000"/>
          <w:sz w:val="20"/>
          <w:shd w:val="clear" w:color="auto" w:fill="FFFFFF"/>
          <w:lang w:eastAsia="en-US"/>
        </w:rPr>
        <w:t xml:space="preserve"> governance is a continuing process of reflection, </w:t>
      </w:r>
      <w:proofErr w:type="gramStart"/>
      <w:r w:rsidRPr="00E543A8">
        <w:rPr>
          <w:rFonts w:ascii="Arial" w:eastAsia="Calibri" w:hAnsi="Arial" w:cs="Arial"/>
          <w:color w:val="000000"/>
          <w:sz w:val="20"/>
          <w:shd w:val="clear" w:color="auto" w:fill="FFFFFF"/>
          <w:lang w:eastAsia="en-US"/>
        </w:rPr>
        <w:t>analysis</w:t>
      </w:r>
      <w:proofErr w:type="gramEnd"/>
      <w:r w:rsidRPr="00E543A8">
        <w:rPr>
          <w:rFonts w:ascii="Arial" w:eastAsia="Calibri" w:hAnsi="Arial" w:cs="Arial"/>
          <w:color w:val="000000"/>
          <w:sz w:val="20"/>
          <w:shd w:val="clear" w:color="auto" w:fill="FFFFFF"/>
          <w:lang w:eastAsia="en-US"/>
        </w:rPr>
        <w:t xml:space="preserve"> and improvement in professional practice for the benefit of the animal patient and the client owner. This practical guidance is intended to help all veterinary surgeons and veterinary nurses to undertake clinical governance, whether they are in clinical practice, or not. Much of the advice for individual veterinary surgeons and veterinary nurses, and the veterinary team, will be covered in other parts of the Code and its supporting guidance. </w:t>
      </w:r>
    </w:p>
    <w:p w14:paraId="358D44E4" w14:textId="77777777" w:rsidR="00712414" w:rsidRPr="00E543A8" w:rsidRDefault="00712414" w:rsidP="00712414">
      <w:pPr>
        <w:spacing w:after="200" w:line="260" w:lineRule="atLeast"/>
        <w:contextualSpacing/>
        <w:rPr>
          <w:rFonts w:ascii="Arial" w:eastAsia="Calibri" w:hAnsi="Arial" w:cs="Arial"/>
          <w:color w:val="000000"/>
          <w:sz w:val="20"/>
          <w:shd w:val="clear" w:color="auto" w:fill="FFFFFF"/>
          <w:lang w:eastAsia="en-US"/>
        </w:rPr>
      </w:pPr>
    </w:p>
    <w:p w14:paraId="0798B1B4" w14:textId="77777777" w:rsidR="00712414" w:rsidRPr="00E543A8" w:rsidRDefault="00712414" w:rsidP="00712414">
      <w:pPr>
        <w:shd w:val="clear" w:color="auto" w:fill="FFFFFF"/>
        <w:spacing w:after="360" w:line="240" w:lineRule="auto"/>
        <w:rPr>
          <w:rFonts w:ascii="Arial" w:eastAsia="Times New Roman" w:hAnsi="Arial" w:cs="Arial"/>
          <w:b/>
          <w:szCs w:val="36"/>
        </w:rPr>
      </w:pPr>
      <w:r w:rsidRPr="00E543A8">
        <w:rPr>
          <w:rFonts w:ascii="Arial" w:eastAsia="Times New Roman" w:hAnsi="Arial" w:cs="Arial"/>
          <w:color w:val="000000"/>
          <w:szCs w:val="24"/>
        </w:rPr>
        <w:t> </w:t>
      </w:r>
      <w:r w:rsidRPr="00E543A8">
        <w:rPr>
          <w:rFonts w:ascii="Arial" w:eastAsia="Times New Roman" w:hAnsi="Arial" w:cs="Arial"/>
          <w:b/>
          <w:szCs w:val="36"/>
        </w:rPr>
        <w:t>Guidance for individual veterinary surgeons and veterinary nurses</w:t>
      </w:r>
    </w:p>
    <w:p w14:paraId="07E5F5D3" w14:textId="77777777" w:rsidR="00712414" w:rsidRPr="00E543A8" w:rsidRDefault="00712414" w:rsidP="00712414">
      <w:pPr>
        <w:shd w:val="clear" w:color="auto" w:fill="FFFFFF"/>
        <w:spacing w:after="360" w:line="240" w:lineRule="auto"/>
        <w:rPr>
          <w:rFonts w:ascii="Arial" w:eastAsia="Times New Roman" w:hAnsi="Arial" w:cs="Arial"/>
          <w:color w:val="000000"/>
          <w:sz w:val="20"/>
          <w:szCs w:val="20"/>
        </w:rPr>
      </w:pPr>
      <w:r w:rsidRPr="00E543A8">
        <w:rPr>
          <w:rFonts w:ascii="Arial" w:eastAsia="Times New Roman" w:hAnsi="Arial" w:cs="Arial"/>
          <w:color w:val="000000"/>
          <w:sz w:val="20"/>
          <w:szCs w:val="20"/>
        </w:rPr>
        <w:t>6.2 Clinical governance may include:</w:t>
      </w:r>
    </w:p>
    <w:p w14:paraId="1C14524E"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 xml:space="preserve">keeping up to date with continuing professional development (CPD) and new developments relevant to the area of </w:t>
      </w:r>
      <w:proofErr w:type="gramStart"/>
      <w:r w:rsidRPr="00EB2748">
        <w:rPr>
          <w:rFonts w:ascii="Arial" w:eastAsia="Calibri" w:hAnsi="Arial" w:cs="Arial"/>
          <w:color w:val="000000"/>
          <w:sz w:val="20"/>
          <w:shd w:val="clear" w:color="auto" w:fill="FFFFFF"/>
          <w:lang w:eastAsia="en-US"/>
        </w:rPr>
        <w:t>work;</w:t>
      </w:r>
      <w:proofErr w:type="gramEnd"/>
    </w:p>
    <w:p w14:paraId="52A64C15"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 xml:space="preserve">reflecting upon performance, preferably in the form of a learning diary, and making appropriate changes to </w:t>
      </w:r>
      <w:proofErr w:type="gramStart"/>
      <w:r w:rsidRPr="00EB2748">
        <w:rPr>
          <w:rFonts w:ascii="Arial" w:eastAsia="Calibri" w:hAnsi="Arial" w:cs="Arial"/>
          <w:color w:val="000000"/>
          <w:sz w:val="20"/>
          <w:shd w:val="clear" w:color="auto" w:fill="FFFFFF"/>
          <w:lang w:eastAsia="en-US"/>
        </w:rPr>
        <w:t>practice;</w:t>
      </w:r>
      <w:proofErr w:type="gramEnd"/>
    </w:p>
    <w:p w14:paraId="50C1A1FC"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 xml:space="preserve">reflecting upon any unexpected critical events and learning from the outcome and making appropriate changes to </w:t>
      </w:r>
      <w:proofErr w:type="gramStart"/>
      <w:r w:rsidRPr="00EB2748">
        <w:rPr>
          <w:rFonts w:ascii="Arial" w:eastAsia="Calibri" w:hAnsi="Arial" w:cs="Arial"/>
          <w:color w:val="000000"/>
          <w:sz w:val="20"/>
          <w:shd w:val="clear" w:color="auto" w:fill="FFFFFF"/>
          <w:lang w:eastAsia="en-US"/>
        </w:rPr>
        <w:t>practice;</w:t>
      </w:r>
      <w:proofErr w:type="gramEnd"/>
    </w:p>
    <w:p w14:paraId="2F703104"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 xml:space="preserve">critically analysing the evidence base for procedures used and making appropriate changes to </w:t>
      </w:r>
      <w:proofErr w:type="gramStart"/>
      <w:r w:rsidRPr="00EB2748">
        <w:rPr>
          <w:rFonts w:ascii="Arial" w:eastAsia="Calibri" w:hAnsi="Arial" w:cs="Arial"/>
          <w:color w:val="000000"/>
          <w:sz w:val="20"/>
          <w:shd w:val="clear" w:color="auto" w:fill="FFFFFF"/>
          <w:lang w:eastAsia="en-US"/>
        </w:rPr>
        <w:t>practice;</w:t>
      </w:r>
      <w:proofErr w:type="gramEnd"/>
    </w:p>
    <w:p w14:paraId="7E153294"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 xml:space="preserve">reflecting upon communication with other members of the work team and making appropriate changes to </w:t>
      </w:r>
      <w:proofErr w:type="gramStart"/>
      <w:r w:rsidRPr="00EB2748">
        <w:rPr>
          <w:rFonts w:ascii="Arial" w:eastAsia="Calibri" w:hAnsi="Arial" w:cs="Arial"/>
          <w:color w:val="000000"/>
          <w:sz w:val="20"/>
          <w:shd w:val="clear" w:color="auto" w:fill="FFFFFF"/>
          <w:lang w:eastAsia="en-US"/>
        </w:rPr>
        <w:t>practice;</w:t>
      </w:r>
      <w:proofErr w:type="gramEnd"/>
    </w:p>
    <w:p w14:paraId="0E424697"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reflecting upon communication with clients and making appropriate changes to practice; and,</w:t>
      </w:r>
    </w:p>
    <w:p w14:paraId="1F9AB4D9" w14:textId="77777777" w:rsidR="00712414" w:rsidRPr="00EB2748" w:rsidRDefault="00712414" w:rsidP="00712414">
      <w:pPr>
        <w:numPr>
          <w:ilvl w:val="0"/>
          <w:numId w:val="1"/>
        </w:numPr>
        <w:shd w:val="clear" w:color="auto" w:fill="FFFFFF"/>
        <w:spacing w:before="100" w:beforeAutospacing="1" w:after="200" w:line="260" w:lineRule="atLeast"/>
        <w:ind w:left="714" w:hanging="357"/>
        <w:contextualSpacing/>
        <w:rPr>
          <w:rFonts w:ascii="Arial" w:eastAsia="Calibri" w:hAnsi="Arial" w:cs="Arial"/>
          <w:color w:val="000000"/>
          <w:sz w:val="20"/>
          <w:shd w:val="clear" w:color="auto" w:fill="FFFFFF"/>
          <w:lang w:eastAsia="en-US"/>
        </w:rPr>
      </w:pPr>
      <w:r w:rsidRPr="00EB2748">
        <w:rPr>
          <w:rFonts w:ascii="Arial" w:eastAsia="Calibri" w:hAnsi="Arial" w:cs="Arial"/>
          <w:color w:val="000000"/>
          <w:sz w:val="20"/>
          <w:shd w:val="clear" w:color="auto" w:fill="FFFFFF"/>
          <w:lang w:eastAsia="en-US"/>
        </w:rPr>
        <w:t>assessing professional competence in consultation with more experienced or better qualified colleagues and limiting your practice appropriately.</w:t>
      </w:r>
    </w:p>
    <w:p w14:paraId="0D189FD5" w14:textId="77777777" w:rsidR="00712414" w:rsidRPr="00E543A8" w:rsidRDefault="00712414" w:rsidP="00712414">
      <w:pPr>
        <w:spacing w:after="200" w:line="300" w:lineRule="atLeast"/>
        <w:contextualSpacing/>
        <w:rPr>
          <w:rFonts w:ascii="Arial" w:eastAsia="Calibri" w:hAnsi="Arial" w:cs="Times New Roman"/>
          <w:sz w:val="20"/>
          <w:szCs w:val="20"/>
          <w:lang w:eastAsia="en-US"/>
        </w:rPr>
      </w:pPr>
    </w:p>
    <w:p w14:paraId="04B86E4C" w14:textId="77777777" w:rsidR="00712414" w:rsidRPr="00E543A8" w:rsidRDefault="00712414" w:rsidP="00712414">
      <w:pPr>
        <w:shd w:val="clear" w:color="auto" w:fill="FFFFFF"/>
        <w:spacing w:after="360" w:line="240" w:lineRule="auto"/>
        <w:outlineLvl w:val="3"/>
        <w:rPr>
          <w:rFonts w:ascii="Arial" w:eastAsia="Times New Roman" w:hAnsi="Arial" w:cs="Arial"/>
          <w:b/>
          <w:bCs/>
          <w:szCs w:val="36"/>
        </w:rPr>
      </w:pPr>
      <w:r w:rsidRPr="00E543A8">
        <w:rPr>
          <w:rFonts w:ascii="Arial" w:eastAsia="Times New Roman" w:hAnsi="Arial" w:cs="Arial"/>
          <w:b/>
          <w:bCs/>
          <w:szCs w:val="36"/>
        </w:rPr>
        <w:t>Guidance for the veterinary team</w:t>
      </w:r>
    </w:p>
    <w:p w14:paraId="326C0AC3" w14:textId="77777777" w:rsidR="00712414" w:rsidRPr="00E543A8" w:rsidRDefault="00712414" w:rsidP="00712414">
      <w:pPr>
        <w:shd w:val="clear" w:color="auto" w:fill="FFFFFF"/>
        <w:spacing w:after="360" w:line="240" w:lineRule="auto"/>
        <w:rPr>
          <w:rFonts w:ascii="Arial" w:eastAsia="Times New Roman" w:hAnsi="Arial" w:cs="Arial"/>
          <w:color w:val="000000"/>
          <w:sz w:val="20"/>
          <w:szCs w:val="20"/>
        </w:rPr>
      </w:pPr>
      <w:r w:rsidRPr="00E543A8">
        <w:rPr>
          <w:rFonts w:ascii="Arial" w:eastAsia="Times New Roman" w:hAnsi="Arial" w:cs="Arial"/>
          <w:color w:val="000000"/>
          <w:sz w:val="20"/>
          <w:szCs w:val="20"/>
        </w:rPr>
        <w:t>6.3 Clinical governance may include: </w:t>
      </w:r>
    </w:p>
    <w:p w14:paraId="75E5BAAC" w14:textId="77777777" w:rsidR="00712414" w:rsidRPr="00E543A8" w:rsidRDefault="00712414" w:rsidP="00712414">
      <w:pPr>
        <w:numPr>
          <w:ilvl w:val="0"/>
          <w:numId w:val="2"/>
        </w:numPr>
        <w:shd w:val="clear" w:color="auto" w:fill="FFFFFF"/>
        <w:spacing w:before="100" w:beforeAutospacing="1" w:after="255" w:line="240" w:lineRule="auto"/>
        <w:contextualSpacing/>
        <w:rPr>
          <w:rFonts w:ascii="Arial" w:eastAsia="Times New Roman" w:hAnsi="Arial" w:cs="Arial"/>
          <w:color w:val="000000"/>
          <w:sz w:val="20"/>
          <w:szCs w:val="20"/>
        </w:rPr>
      </w:pPr>
      <w:r w:rsidRPr="00E543A8">
        <w:rPr>
          <w:rFonts w:ascii="Arial" w:eastAsia="Times New Roman" w:hAnsi="Arial" w:cs="Arial"/>
          <w:b/>
          <w:bCs/>
          <w:color w:val="000000"/>
          <w:sz w:val="20"/>
          <w:szCs w:val="20"/>
        </w:rPr>
        <w:t>Animal safety</w:t>
      </w:r>
    </w:p>
    <w:p w14:paraId="09373E8A"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 xml:space="preserve">In case of any critical event </w:t>
      </w:r>
      <w:proofErr w:type="spellStart"/>
      <w:proofErr w:type="gramStart"/>
      <w:r w:rsidRPr="00E543A8">
        <w:rPr>
          <w:rFonts w:ascii="Arial" w:eastAsia="Times New Roman" w:hAnsi="Arial" w:cs="Arial"/>
          <w:color w:val="000000"/>
          <w:sz w:val="20"/>
          <w:szCs w:val="20"/>
        </w:rPr>
        <w:t>eg</w:t>
      </w:r>
      <w:proofErr w:type="spellEnd"/>
      <w:proofErr w:type="gramEnd"/>
      <w:r w:rsidRPr="00E543A8">
        <w:rPr>
          <w:rFonts w:ascii="Arial" w:eastAsia="Times New Roman" w:hAnsi="Arial" w:cs="Arial"/>
          <w:color w:val="000000"/>
          <w:sz w:val="20"/>
          <w:szCs w:val="20"/>
        </w:rPr>
        <w:t xml:space="preserve"> unexpected medical or surgical complications, serious complaint, accident or anaesthetic death, hold a no-blame meeting of all staff involved as soon as possible after the incident and record all the details.</w:t>
      </w:r>
    </w:p>
    <w:p w14:paraId="2766F6E5"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At the critical event meeting consider what, if anything, could have been done to avoid this incident, and what changes can be made in procedure as a result.</w:t>
      </w:r>
    </w:p>
    <w:p w14:paraId="341A82F6"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clear protocols in place to ensure all staff are familiar with procedures for ensuring patient safety.</w:t>
      </w:r>
    </w:p>
    <w:p w14:paraId="781EF40D"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Communicate changes in procedure to the whole practice team.</w:t>
      </w:r>
    </w:p>
    <w:p w14:paraId="56858B03" w14:textId="77777777" w:rsidR="00712414"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Ensure staff are aware that referral (to an appropriate veterinary surgeon in the practice or another practice) is an option to the client.</w:t>
      </w:r>
    </w:p>
    <w:p w14:paraId="5C32C855" w14:textId="77777777" w:rsidR="00712414" w:rsidRPr="00E543A8" w:rsidRDefault="00712414" w:rsidP="00712414">
      <w:pPr>
        <w:shd w:val="clear" w:color="auto" w:fill="FFFFFF"/>
        <w:spacing w:before="100" w:beforeAutospacing="1" w:after="200" w:line="260" w:lineRule="atLeast"/>
        <w:ind w:left="1434"/>
        <w:contextualSpacing/>
        <w:rPr>
          <w:rFonts w:ascii="Arial" w:eastAsia="Times New Roman" w:hAnsi="Arial" w:cs="Arial"/>
          <w:color w:val="000000"/>
          <w:sz w:val="20"/>
          <w:szCs w:val="20"/>
        </w:rPr>
      </w:pPr>
    </w:p>
    <w:p w14:paraId="233C4158" w14:textId="77777777" w:rsidR="00712414" w:rsidRPr="00E543A8" w:rsidRDefault="00712414" w:rsidP="00712414">
      <w:pPr>
        <w:numPr>
          <w:ilvl w:val="0"/>
          <w:numId w:val="2"/>
        </w:numPr>
        <w:shd w:val="clear" w:color="auto" w:fill="FFFFFF"/>
        <w:spacing w:before="100" w:beforeAutospacing="1" w:after="200" w:line="260" w:lineRule="atLeast"/>
        <w:contextualSpacing/>
        <w:rPr>
          <w:rFonts w:ascii="Arial" w:eastAsia="Times New Roman" w:hAnsi="Arial" w:cs="Arial"/>
          <w:color w:val="000000"/>
          <w:sz w:val="20"/>
          <w:szCs w:val="20"/>
        </w:rPr>
      </w:pPr>
      <w:r w:rsidRPr="00E543A8">
        <w:rPr>
          <w:rFonts w:ascii="Arial" w:eastAsia="Times New Roman" w:hAnsi="Arial" w:cs="Arial"/>
          <w:b/>
          <w:bCs/>
          <w:color w:val="000000"/>
          <w:sz w:val="20"/>
          <w:szCs w:val="20"/>
        </w:rPr>
        <w:t>Clinical effectiveness</w:t>
      </w:r>
    </w:p>
    <w:p w14:paraId="59A385FD"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Organise regular clinical discussion meetings for the practice team, record minutes, and review any action points at future meetings. All clinical staff should be encouraged to participate and input items onto the agenda.</w:t>
      </w:r>
    </w:p>
    <w:p w14:paraId="71581D83"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Follow up any clinical issues arising from clinical discussion meetings.</w:t>
      </w:r>
    </w:p>
    <w:p w14:paraId="5C712C4A"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lastRenderedPageBreak/>
        <w:t xml:space="preserve">Make appropriate changes </w:t>
      </w:r>
      <w:proofErr w:type="gramStart"/>
      <w:r w:rsidRPr="00E543A8">
        <w:rPr>
          <w:rFonts w:ascii="Arial" w:eastAsia="Times New Roman" w:hAnsi="Arial" w:cs="Arial"/>
          <w:color w:val="000000"/>
          <w:sz w:val="20"/>
          <w:szCs w:val="20"/>
        </w:rPr>
        <w:t>as a result of</w:t>
      </w:r>
      <w:proofErr w:type="gramEnd"/>
      <w:r w:rsidRPr="00E543A8">
        <w:rPr>
          <w:rFonts w:ascii="Arial" w:eastAsia="Times New Roman" w:hAnsi="Arial" w:cs="Arial"/>
          <w:color w:val="000000"/>
          <w:sz w:val="20"/>
          <w:szCs w:val="20"/>
        </w:rPr>
        <w:t xml:space="preserve"> clinical discussion meetings and monitor these changes to ensure they are effective.</w:t>
      </w:r>
    </w:p>
    <w:p w14:paraId="7CBCFCE7"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Organise online discussion forums to discuss clinical cases where geography or part-time working make face-to-face meetings difficult.</w:t>
      </w:r>
    </w:p>
    <w:p w14:paraId="793F2AF1"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Organise practice team discussions on guidelines or protocols used in practice. Look at the evidence base for common procedures and treatments used in the practice and revise these as a result if necessary.</w:t>
      </w:r>
    </w:p>
    <w:p w14:paraId="075F57AA"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 xml:space="preserve">Build up a manual that can be used as clinical guidance in the practice. Make sure that it is regularly </w:t>
      </w:r>
      <w:proofErr w:type="gramStart"/>
      <w:r w:rsidRPr="00E543A8">
        <w:rPr>
          <w:rFonts w:ascii="Arial" w:eastAsia="Times New Roman" w:hAnsi="Arial" w:cs="Arial"/>
          <w:color w:val="000000"/>
          <w:sz w:val="20"/>
          <w:szCs w:val="20"/>
        </w:rPr>
        <w:t>updated</w:t>
      </w:r>
      <w:proofErr w:type="gramEnd"/>
      <w:r w:rsidRPr="00E543A8">
        <w:rPr>
          <w:rFonts w:ascii="Arial" w:eastAsia="Times New Roman" w:hAnsi="Arial" w:cs="Arial"/>
          <w:color w:val="000000"/>
          <w:sz w:val="20"/>
          <w:szCs w:val="20"/>
        </w:rPr>
        <w:t xml:space="preserve"> and new or temporary members of staff are made familiar with its contents at the earliest opportunity.</w:t>
      </w:r>
    </w:p>
    <w:p w14:paraId="6FB2CED3"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Organise clinical clubs or journal clubs, either live or online, critically discussing cases and clinical papers.</w:t>
      </w:r>
    </w:p>
    <w:p w14:paraId="39B56C17"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Audit the results of clinical procedures of interest to the practice team and use the results to improve patient care (see </w:t>
      </w:r>
      <w:hyperlink r:id="rId7" w:history="1">
        <w:r w:rsidRPr="00E543A8">
          <w:rPr>
            <w:rFonts w:ascii="Arial" w:eastAsia="Times New Roman" w:hAnsi="Arial" w:cs="Arial"/>
            <w:color w:val="007DB1"/>
            <w:sz w:val="20"/>
            <w:szCs w:val="20"/>
            <w:u w:val="single"/>
          </w:rPr>
          <w:t>www.vetaudit.co.uk</w:t>
        </w:r>
      </w:hyperlink>
      <w:r w:rsidRPr="00E543A8">
        <w:rPr>
          <w:rFonts w:ascii="Arial" w:eastAsia="Times New Roman" w:hAnsi="Arial" w:cs="Arial"/>
          <w:color w:val="000000"/>
          <w:sz w:val="20"/>
          <w:szCs w:val="20"/>
        </w:rPr>
        <w:t> for more information).</w:t>
      </w:r>
    </w:p>
    <w:p w14:paraId="00007684"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 xml:space="preserve">Have a policy, with </w:t>
      </w:r>
      <w:proofErr w:type="gramStart"/>
      <w:r w:rsidRPr="00E543A8">
        <w:rPr>
          <w:rFonts w:ascii="Arial" w:eastAsia="Times New Roman" w:hAnsi="Arial" w:cs="Arial"/>
          <w:color w:val="000000"/>
          <w:sz w:val="20"/>
          <w:szCs w:val="20"/>
        </w:rPr>
        <w:t>funding</w:t>
      </w:r>
      <w:proofErr w:type="gramEnd"/>
      <w:r w:rsidRPr="00E543A8">
        <w:rPr>
          <w:rFonts w:ascii="Arial" w:eastAsia="Times New Roman" w:hAnsi="Arial" w:cs="Arial"/>
          <w:color w:val="000000"/>
          <w:sz w:val="20"/>
          <w:szCs w:val="20"/>
        </w:rPr>
        <w:t xml:space="preserve"> if possible, to encourage CPD for all veterinary surgeons and veterinary nurses and clinical support staff.</w:t>
      </w:r>
    </w:p>
    <w:p w14:paraId="2CCF565C"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a system for individuals to feedback interesting information from CPD courses to the rest of the practice team.</w:t>
      </w:r>
    </w:p>
    <w:p w14:paraId="2930C7F0"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Incorporate information learned at CPD courses into practice protocols, where appropriate.</w:t>
      </w:r>
    </w:p>
    <w:p w14:paraId="4F731283"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Ensure clinical staff have access to suitable up-to-date reference material.</w:t>
      </w:r>
    </w:p>
    <w:p w14:paraId="0C99FAA5"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systems to ensure that information on new veterinary products or new pieces of equipment is communicated to the veterinary team.</w:t>
      </w:r>
    </w:p>
    <w:p w14:paraId="0A313142" w14:textId="77777777" w:rsidR="00712414"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a performance review system in place for all clinical staff to monitor and plan development.</w:t>
      </w:r>
    </w:p>
    <w:p w14:paraId="1C3B75FD" w14:textId="77777777" w:rsidR="00712414" w:rsidRPr="00E543A8" w:rsidRDefault="00712414" w:rsidP="00712414">
      <w:pPr>
        <w:shd w:val="clear" w:color="auto" w:fill="FFFFFF"/>
        <w:spacing w:before="100" w:beforeAutospacing="1" w:after="200" w:line="260" w:lineRule="atLeast"/>
        <w:ind w:left="1434"/>
        <w:contextualSpacing/>
        <w:rPr>
          <w:rFonts w:ascii="Arial" w:eastAsia="Times New Roman" w:hAnsi="Arial" w:cs="Arial"/>
          <w:color w:val="000000"/>
          <w:sz w:val="20"/>
          <w:szCs w:val="20"/>
        </w:rPr>
      </w:pPr>
    </w:p>
    <w:p w14:paraId="302A298D" w14:textId="77777777" w:rsidR="00712414" w:rsidRPr="00E543A8" w:rsidRDefault="00712414" w:rsidP="00712414">
      <w:pPr>
        <w:numPr>
          <w:ilvl w:val="0"/>
          <w:numId w:val="2"/>
        </w:numPr>
        <w:shd w:val="clear" w:color="auto" w:fill="FFFFFF"/>
        <w:spacing w:before="100" w:beforeAutospacing="1" w:after="255" w:line="240" w:lineRule="auto"/>
        <w:contextualSpacing/>
        <w:rPr>
          <w:rFonts w:ascii="Arial" w:eastAsia="Times New Roman" w:hAnsi="Arial" w:cs="Arial"/>
          <w:color w:val="000000"/>
          <w:sz w:val="20"/>
          <w:szCs w:val="20"/>
        </w:rPr>
      </w:pPr>
      <w:r w:rsidRPr="00E543A8">
        <w:rPr>
          <w:rFonts w:ascii="Arial" w:eastAsia="Times New Roman" w:hAnsi="Arial" w:cs="Arial"/>
          <w:b/>
          <w:bCs/>
          <w:color w:val="000000"/>
          <w:sz w:val="20"/>
          <w:szCs w:val="20"/>
        </w:rPr>
        <w:t>Patient and client experience</w:t>
      </w:r>
    </w:p>
    <w:p w14:paraId="5C88DA5E"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Ensure continuity of care for patients by having effective systems of case handovers between clinical staff.</w:t>
      </w:r>
    </w:p>
    <w:p w14:paraId="092E2151"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protocols to safeguard the pain relief and nursing care for all inpatients.</w:t>
      </w:r>
    </w:p>
    <w:p w14:paraId="49C0D9BF"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 xml:space="preserve">Have an effective means of communicating with clients, </w:t>
      </w:r>
      <w:proofErr w:type="spellStart"/>
      <w:proofErr w:type="gramStart"/>
      <w:r w:rsidRPr="00E543A8">
        <w:rPr>
          <w:rFonts w:ascii="Arial" w:eastAsia="Times New Roman" w:hAnsi="Arial" w:cs="Arial"/>
          <w:color w:val="000000"/>
          <w:sz w:val="20"/>
          <w:szCs w:val="20"/>
        </w:rPr>
        <w:t>eg</w:t>
      </w:r>
      <w:proofErr w:type="spellEnd"/>
      <w:proofErr w:type="gramEnd"/>
      <w:r w:rsidRPr="00E543A8">
        <w:rPr>
          <w:rFonts w:ascii="Arial" w:eastAsia="Times New Roman" w:hAnsi="Arial" w:cs="Arial"/>
          <w:color w:val="000000"/>
          <w:sz w:val="20"/>
          <w:szCs w:val="20"/>
        </w:rPr>
        <w:t xml:space="preserve"> newsletters, web sites etc.</w:t>
      </w:r>
    </w:p>
    <w:p w14:paraId="066E4C82"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Monitor and take note of feedback from clients.</w:t>
      </w:r>
    </w:p>
    <w:p w14:paraId="5079BBB7"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 xml:space="preserve">Ensure that clients can easily find out the names of staff, </w:t>
      </w:r>
      <w:proofErr w:type="spellStart"/>
      <w:proofErr w:type="gramStart"/>
      <w:r w:rsidRPr="00E543A8">
        <w:rPr>
          <w:rFonts w:ascii="Arial" w:eastAsia="Times New Roman" w:hAnsi="Arial" w:cs="Arial"/>
          <w:color w:val="000000"/>
          <w:sz w:val="20"/>
          <w:szCs w:val="20"/>
        </w:rPr>
        <w:t>eg</w:t>
      </w:r>
      <w:proofErr w:type="spellEnd"/>
      <w:proofErr w:type="gramEnd"/>
      <w:r w:rsidRPr="00E543A8">
        <w:rPr>
          <w:rFonts w:ascii="Arial" w:eastAsia="Times New Roman" w:hAnsi="Arial" w:cs="Arial"/>
          <w:color w:val="000000"/>
          <w:sz w:val="20"/>
          <w:szCs w:val="20"/>
        </w:rPr>
        <w:t xml:space="preserve"> badges, notice boards, web site etc.</w:t>
      </w:r>
    </w:p>
    <w:p w14:paraId="692346ED"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protocols known to all relevant staff for dealing with members of the public.</w:t>
      </w:r>
    </w:p>
    <w:p w14:paraId="0964DE13"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a complaints procedure.</w:t>
      </w:r>
    </w:p>
    <w:p w14:paraId="7DA8288F"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Record all complaints received and the responses to the clients.</w:t>
      </w:r>
    </w:p>
    <w:p w14:paraId="3728F5DA" w14:textId="77777777" w:rsidR="00712414" w:rsidRPr="00E543A8" w:rsidRDefault="00712414" w:rsidP="00712414">
      <w:pPr>
        <w:numPr>
          <w:ilvl w:val="1"/>
          <w:numId w:val="2"/>
        </w:numPr>
        <w:shd w:val="clear" w:color="auto" w:fill="FFFFFF"/>
        <w:spacing w:before="100" w:beforeAutospacing="1" w:after="200" w:line="260" w:lineRule="atLeast"/>
        <w:ind w:left="1434" w:hanging="357"/>
        <w:contextualSpacing/>
        <w:rPr>
          <w:rFonts w:ascii="Arial" w:eastAsia="Times New Roman" w:hAnsi="Arial" w:cs="Arial"/>
          <w:color w:val="000000"/>
          <w:sz w:val="20"/>
          <w:szCs w:val="20"/>
        </w:rPr>
      </w:pPr>
      <w:r w:rsidRPr="00E543A8">
        <w:rPr>
          <w:rFonts w:ascii="Arial" w:eastAsia="Times New Roman" w:hAnsi="Arial" w:cs="Arial"/>
          <w:color w:val="000000"/>
          <w:sz w:val="20"/>
          <w:szCs w:val="20"/>
        </w:rPr>
        <w:t>Have an effective communication system within the practice.</w:t>
      </w:r>
    </w:p>
    <w:p w14:paraId="396C886F" w14:textId="77777777" w:rsidR="00712414" w:rsidRDefault="00712414" w:rsidP="00712414">
      <w:pPr>
        <w:spacing w:after="200" w:line="276" w:lineRule="auto"/>
        <w:rPr>
          <w:rFonts w:ascii="Arial" w:eastAsia="Arial" w:hAnsi="Arial" w:cs="Arial"/>
          <w:b/>
          <w:color w:val="007DB1"/>
          <w:sz w:val="14"/>
        </w:rPr>
      </w:pPr>
    </w:p>
    <w:p w14:paraId="13BAD4CE" w14:textId="77777777" w:rsidR="00712414" w:rsidRDefault="00712414" w:rsidP="00712414">
      <w:pPr>
        <w:spacing w:after="200" w:line="276" w:lineRule="auto"/>
        <w:rPr>
          <w:rFonts w:ascii="Arial" w:eastAsia="Arial" w:hAnsi="Arial" w:cs="Arial"/>
          <w:b/>
          <w:color w:val="007DB1"/>
          <w:sz w:val="14"/>
        </w:rPr>
      </w:pPr>
    </w:p>
    <w:p w14:paraId="02A45B05" w14:textId="77777777" w:rsidR="00211179" w:rsidRDefault="00211179" w:rsidP="00712414">
      <w:pPr>
        <w:spacing w:after="200" w:line="276" w:lineRule="auto"/>
        <w:rPr>
          <w:rFonts w:ascii="Arial" w:eastAsia="Arial" w:hAnsi="Arial" w:cs="Arial"/>
          <w:b/>
          <w:color w:val="007DB1"/>
          <w:sz w:val="14"/>
        </w:rPr>
      </w:pPr>
    </w:p>
    <w:p w14:paraId="3BAC3B6A" w14:textId="77777777" w:rsidR="00211179" w:rsidRDefault="00211179" w:rsidP="00712414">
      <w:pPr>
        <w:spacing w:after="200" w:line="276" w:lineRule="auto"/>
        <w:rPr>
          <w:rFonts w:ascii="Arial" w:eastAsia="Arial" w:hAnsi="Arial" w:cs="Arial"/>
          <w:b/>
          <w:color w:val="007DB1"/>
          <w:sz w:val="14"/>
        </w:rPr>
      </w:pPr>
    </w:p>
    <w:p w14:paraId="3EF10A5E" w14:textId="77777777" w:rsidR="00211179" w:rsidRDefault="00211179" w:rsidP="00712414">
      <w:pPr>
        <w:spacing w:after="200" w:line="276" w:lineRule="auto"/>
        <w:rPr>
          <w:rFonts w:ascii="Arial" w:eastAsia="Arial" w:hAnsi="Arial" w:cs="Arial"/>
          <w:b/>
          <w:color w:val="007DB1"/>
          <w:sz w:val="14"/>
        </w:rPr>
      </w:pPr>
    </w:p>
    <w:p w14:paraId="47D67711" w14:textId="77777777" w:rsidR="00211179" w:rsidRDefault="00211179" w:rsidP="00712414">
      <w:pPr>
        <w:spacing w:after="200" w:line="276" w:lineRule="auto"/>
        <w:rPr>
          <w:rFonts w:ascii="Arial" w:eastAsia="Arial" w:hAnsi="Arial" w:cs="Arial"/>
          <w:b/>
          <w:color w:val="007DB1"/>
          <w:sz w:val="14"/>
        </w:rPr>
      </w:pPr>
    </w:p>
    <w:p w14:paraId="3F24A6D5" w14:textId="77777777" w:rsidR="00211179" w:rsidRDefault="00211179" w:rsidP="00712414">
      <w:pPr>
        <w:spacing w:after="200" w:line="276" w:lineRule="auto"/>
        <w:rPr>
          <w:rFonts w:ascii="Arial" w:eastAsia="Arial" w:hAnsi="Arial" w:cs="Arial"/>
          <w:b/>
          <w:color w:val="007DB1"/>
          <w:sz w:val="14"/>
        </w:rPr>
      </w:pPr>
    </w:p>
    <w:p w14:paraId="1B6CA2B5" w14:textId="77777777" w:rsidR="00211179" w:rsidRDefault="00211179" w:rsidP="00712414">
      <w:pPr>
        <w:spacing w:after="200" w:line="276" w:lineRule="auto"/>
        <w:rPr>
          <w:rFonts w:ascii="Arial" w:eastAsia="Arial" w:hAnsi="Arial" w:cs="Arial"/>
          <w:b/>
          <w:color w:val="007DB1"/>
          <w:sz w:val="14"/>
        </w:rPr>
      </w:pPr>
    </w:p>
    <w:p w14:paraId="0182AB72" w14:textId="77777777" w:rsidR="00712414" w:rsidRDefault="00211179" w:rsidP="00712414">
      <w:pPr>
        <w:spacing w:after="200" w:line="276" w:lineRule="auto"/>
        <w:rPr>
          <w:rFonts w:ascii="Arial" w:eastAsia="Arial" w:hAnsi="Arial" w:cs="Arial"/>
          <w:b/>
          <w:color w:val="007DB1"/>
          <w:sz w:val="24"/>
        </w:rPr>
      </w:pPr>
      <w:r>
        <w:rPr>
          <w:rFonts w:ascii="Arial" w:eastAsia="Arial" w:hAnsi="Arial" w:cs="Arial"/>
          <w:b/>
          <w:noProof/>
          <w:color w:val="007DB1"/>
          <w:sz w:val="24"/>
        </w:rPr>
        <w:lastRenderedPageBreak/>
        <w:object w:dxaOrig="1440" w:dyaOrig="1440" w14:anchorId="62CBE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9.8pt;margin-top:0;width:225pt;height:58.85pt;z-index:-251658752;mso-position-horizontal-relative:text;mso-position-vertical-relative:text" wrapcoords="-72 0 -72 21421 21600 21421 21600 0 -72 0" filled="t">
            <v:imagedata r:id="rId8" o:title="" croptop="23037f"/>
            <o:lock v:ext="edit" aspectratio="f"/>
            <w10:wrap type="tight"/>
          </v:shape>
          <o:OLEObject Type="Embed" ProgID="StaticMetafile" ShapeID="_x0000_s1026" DrawAspect="Content" ObjectID="_1743857256" r:id="rId9"/>
        </w:object>
      </w:r>
    </w:p>
    <w:p w14:paraId="0CF7E845" w14:textId="77777777" w:rsidR="00712414" w:rsidRDefault="00712414" w:rsidP="00712414">
      <w:pPr>
        <w:spacing w:after="200" w:line="276" w:lineRule="auto"/>
        <w:rPr>
          <w:rFonts w:ascii="Arial" w:eastAsia="Arial" w:hAnsi="Arial" w:cs="Arial"/>
          <w:b/>
          <w:color w:val="007DB1"/>
          <w:sz w:val="24"/>
        </w:rPr>
      </w:pPr>
    </w:p>
    <w:p w14:paraId="1D9646DB" w14:textId="77777777" w:rsidR="00712414" w:rsidRDefault="00712414" w:rsidP="00712414">
      <w:pPr>
        <w:spacing w:after="200" w:line="276" w:lineRule="auto"/>
        <w:rPr>
          <w:rFonts w:ascii="Arial" w:eastAsia="Arial" w:hAnsi="Arial" w:cs="Arial"/>
          <w:b/>
          <w:color w:val="007DB1"/>
          <w:sz w:val="24"/>
        </w:rPr>
      </w:pPr>
    </w:p>
    <w:p w14:paraId="29290FD9" w14:textId="77777777" w:rsidR="00712414" w:rsidRPr="00E543A8" w:rsidRDefault="00712414" w:rsidP="00712414">
      <w:pPr>
        <w:spacing w:after="200" w:line="276" w:lineRule="auto"/>
        <w:rPr>
          <w:rFonts w:ascii="Arial" w:eastAsia="Arial" w:hAnsi="Arial" w:cs="Arial"/>
          <w:b/>
          <w:color w:val="007DB1"/>
          <w:sz w:val="24"/>
        </w:rPr>
      </w:pPr>
      <w:r w:rsidRPr="00E543A8">
        <w:rPr>
          <w:rFonts w:ascii="Arial" w:eastAsia="Arial" w:hAnsi="Arial" w:cs="Arial"/>
          <w:b/>
          <w:color w:val="007DB1"/>
          <w:sz w:val="24"/>
        </w:rPr>
        <w:t>RCVS Advanced Practitioners</w:t>
      </w:r>
    </w:p>
    <w:p w14:paraId="2751B038" w14:textId="77777777" w:rsidR="00712414" w:rsidRPr="00E543A8" w:rsidRDefault="00712414" w:rsidP="00712414">
      <w:pPr>
        <w:spacing w:after="200" w:line="276" w:lineRule="auto"/>
        <w:rPr>
          <w:rFonts w:ascii="Arial" w:eastAsia="Arial" w:hAnsi="Arial" w:cs="Arial"/>
          <w:b/>
          <w:color w:val="007DB1"/>
          <w:sz w:val="24"/>
        </w:rPr>
      </w:pPr>
      <w:r w:rsidRPr="00E543A8">
        <w:rPr>
          <w:rFonts w:ascii="Arial" w:eastAsia="Arial" w:hAnsi="Arial" w:cs="Arial"/>
          <w:b/>
          <w:color w:val="007DB1"/>
          <w:sz w:val="24"/>
        </w:rPr>
        <w:t>Clinical Governance statement</w:t>
      </w:r>
    </w:p>
    <w:p w14:paraId="03E20EE7" w14:textId="77777777" w:rsidR="00712414" w:rsidRPr="00E543A8" w:rsidRDefault="00712414" w:rsidP="00712414">
      <w:pPr>
        <w:rPr>
          <w:b/>
          <w:sz w:val="20"/>
        </w:rPr>
      </w:pPr>
    </w:p>
    <w:tbl>
      <w:tblPr>
        <w:tblStyle w:val="TableGrid"/>
        <w:tblW w:w="0" w:type="auto"/>
        <w:tblLook w:val="04A0" w:firstRow="1" w:lastRow="0" w:firstColumn="1" w:lastColumn="0" w:noHBand="0" w:noVBand="1"/>
      </w:tblPr>
      <w:tblGrid>
        <w:gridCol w:w="4508"/>
        <w:gridCol w:w="4508"/>
      </w:tblGrid>
      <w:tr w:rsidR="00712414" w:rsidRPr="00E543A8" w14:paraId="4FD88D03" w14:textId="77777777" w:rsidTr="003C61E1">
        <w:tc>
          <w:tcPr>
            <w:tcW w:w="4508" w:type="dxa"/>
          </w:tcPr>
          <w:p w14:paraId="126278BE" w14:textId="77777777" w:rsidR="00712414" w:rsidRPr="00E543A8" w:rsidRDefault="00712414" w:rsidP="003C61E1">
            <w:pPr>
              <w:rPr>
                <w:rFonts w:ascii="Arial" w:hAnsi="Arial" w:cs="Arial"/>
                <w:b/>
                <w:sz w:val="20"/>
              </w:rPr>
            </w:pPr>
            <w:r w:rsidRPr="00E543A8">
              <w:rPr>
                <w:rFonts w:ascii="Arial" w:hAnsi="Arial" w:cs="Arial"/>
                <w:b/>
                <w:sz w:val="20"/>
              </w:rPr>
              <w:t>Applicant Name:</w:t>
            </w:r>
          </w:p>
          <w:p w14:paraId="66BED16C" w14:textId="77777777" w:rsidR="00712414" w:rsidRPr="00E543A8" w:rsidRDefault="00712414" w:rsidP="003C61E1">
            <w:pPr>
              <w:rPr>
                <w:rFonts w:ascii="Arial" w:hAnsi="Arial" w:cs="Arial"/>
                <w:b/>
                <w:sz w:val="20"/>
              </w:rPr>
            </w:pPr>
          </w:p>
        </w:tc>
        <w:tc>
          <w:tcPr>
            <w:tcW w:w="4508" w:type="dxa"/>
          </w:tcPr>
          <w:p w14:paraId="41750DDD" w14:textId="77777777" w:rsidR="00712414" w:rsidRDefault="00712414" w:rsidP="003C61E1">
            <w:pPr>
              <w:rPr>
                <w:b/>
                <w:sz w:val="20"/>
              </w:rPr>
            </w:pPr>
          </w:p>
          <w:p w14:paraId="42A1AF8D" w14:textId="77777777" w:rsidR="00712414" w:rsidRPr="00E543A8" w:rsidRDefault="00712414" w:rsidP="003C61E1">
            <w:pPr>
              <w:rPr>
                <w:b/>
                <w:sz w:val="20"/>
              </w:rPr>
            </w:pPr>
          </w:p>
        </w:tc>
      </w:tr>
      <w:tr w:rsidR="00712414" w:rsidRPr="00E543A8" w14:paraId="7A739120" w14:textId="77777777" w:rsidTr="003C61E1">
        <w:tc>
          <w:tcPr>
            <w:tcW w:w="4508" w:type="dxa"/>
          </w:tcPr>
          <w:p w14:paraId="41A68F4C" w14:textId="77777777" w:rsidR="00712414" w:rsidRPr="00E543A8" w:rsidRDefault="00712414" w:rsidP="003C61E1">
            <w:pPr>
              <w:rPr>
                <w:rFonts w:ascii="Arial" w:hAnsi="Arial" w:cs="Arial"/>
                <w:b/>
                <w:sz w:val="20"/>
              </w:rPr>
            </w:pPr>
            <w:r w:rsidRPr="00E543A8">
              <w:rPr>
                <w:rFonts w:ascii="Arial" w:hAnsi="Arial" w:cs="Arial"/>
                <w:b/>
                <w:sz w:val="20"/>
              </w:rPr>
              <w:t>RCVS Membership number:</w:t>
            </w:r>
          </w:p>
          <w:p w14:paraId="2DD41CF8" w14:textId="77777777" w:rsidR="00712414" w:rsidRPr="00E543A8" w:rsidRDefault="00712414" w:rsidP="003C61E1">
            <w:pPr>
              <w:rPr>
                <w:rFonts w:ascii="Arial" w:hAnsi="Arial" w:cs="Arial"/>
                <w:b/>
                <w:sz w:val="20"/>
              </w:rPr>
            </w:pPr>
          </w:p>
        </w:tc>
        <w:tc>
          <w:tcPr>
            <w:tcW w:w="4508" w:type="dxa"/>
          </w:tcPr>
          <w:p w14:paraId="3D681F13" w14:textId="77777777" w:rsidR="00712414" w:rsidRDefault="00712414" w:rsidP="003C61E1">
            <w:pPr>
              <w:rPr>
                <w:b/>
                <w:sz w:val="20"/>
              </w:rPr>
            </w:pPr>
          </w:p>
          <w:p w14:paraId="5E7CF298" w14:textId="77777777" w:rsidR="00712414" w:rsidRPr="00E543A8" w:rsidRDefault="00712414" w:rsidP="003C61E1">
            <w:pPr>
              <w:rPr>
                <w:b/>
                <w:sz w:val="20"/>
              </w:rPr>
            </w:pPr>
          </w:p>
        </w:tc>
      </w:tr>
      <w:tr w:rsidR="00712414" w:rsidRPr="00E543A8" w14:paraId="2B6A1C48" w14:textId="77777777" w:rsidTr="003C61E1">
        <w:tc>
          <w:tcPr>
            <w:tcW w:w="9016" w:type="dxa"/>
            <w:gridSpan w:val="2"/>
          </w:tcPr>
          <w:p w14:paraId="3E9365A5" w14:textId="77777777" w:rsidR="00712414" w:rsidRDefault="00712414" w:rsidP="003C61E1">
            <w:pPr>
              <w:rPr>
                <w:rFonts w:ascii="Arial" w:hAnsi="Arial" w:cs="Arial"/>
                <w:b/>
                <w:sz w:val="20"/>
              </w:rPr>
            </w:pPr>
            <w:r w:rsidRPr="00E543A8">
              <w:rPr>
                <w:rFonts w:ascii="Arial" w:hAnsi="Arial" w:cs="Arial"/>
                <w:b/>
                <w:sz w:val="20"/>
              </w:rPr>
              <w:t>An extract from the Code of Professional Conduct for Ve</w:t>
            </w:r>
            <w:r>
              <w:rPr>
                <w:rFonts w:ascii="Arial" w:hAnsi="Arial" w:cs="Arial"/>
                <w:b/>
                <w:sz w:val="20"/>
              </w:rPr>
              <w:t>terinary Surgeons is provided on pages 26-27</w:t>
            </w:r>
            <w:r w:rsidRPr="00E543A8">
              <w:rPr>
                <w:rFonts w:ascii="Arial" w:hAnsi="Arial" w:cs="Arial"/>
                <w:b/>
                <w:sz w:val="20"/>
              </w:rPr>
              <w:t xml:space="preserve">. </w:t>
            </w:r>
          </w:p>
          <w:p w14:paraId="37AF4FDF" w14:textId="77777777" w:rsidR="00712414" w:rsidRPr="00E543A8" w:rsidRDefault="00712414" w:rsidP="003C61E1">
            <w:pPr>
              <w:rPr>
                <w:rFonts w:ascii="Arial" w:hAnsi="Arial" w:cs="Arial"/>
                <w:b/>
                <w:sz w:val="20"/>
              </w:rPr>
            </w:pPr>
          </w:p>
          <w:p w14:paraId="5B97EB30" w14:textId="60DA1944" w:rsidR="00A01FED" w:rsidRPr="00E95793" w:rsidRDefault="00A01FED" w:rsidP="00A01FED">
            <w:pPr>
              <w:rPr>
                <w:rFonts w:ascii="Arial" w:hAnsi="Arial" w:cs="Arial"/>
                <w:b/>
                <w:sz w:val="20"/>
              </w:rPr>
            </w:pPr>
            <w:r w:rsidRPr="00E95793">
              <w:rPr>
                <w:rFonts w:ascii="Arial" w:hAnsi="Arial" w:cs="Arial"/>
                <w:b/>
                <w:sz w:val="20"/>
              </w:rPr>
              <w:t xml:space="preserve">Please describe the ways in which you have been involved with clinical governance, in line with the Code, illustrating your statement with </w:t>
            </w:r>
            <w:r w:rsidRPr="007C6203">
              <w:rPr>
                <w:rFonts w:ascii="Arial" w:hAnsi="Arial" w:cs="Arial"/>
                <w:b/>
                <w:sz w:val="20"/>
                <w:u w:val="single"/>
              </w:rPr>
              <w:t xml:space="preserve">two </w:t>
            </w:r>
            <w:r w:rsidR="007C6203" w:rsidRPr="007C6203">
              <w:rPr>
                <w:rFonts w:ascii="Arial" w:hAnsi="Arial" w:cs="Arial"/>
                <w:b/>
                <w:sz w:val="20"/>
                <w:u w:val="single"/>
              </w:rPr>
              <w:t>specific</w:t>
            </w:r>
            <w:r w:rsidR="007C6203">
              <w:rPr>
                <w:rFonts w:ascii="Arial" w:hAnsi="Arial" w:cs="Arial"/>
                <w:b/>
                <w:sz w:val="20"/>
              </w:rPr>
              <w:t xml:space="preserve"> </w:t>
            </w:r>
            <w:r w:rsidRPr="00E95793">
              <w:rPr>
                <w:rFonts w:ascii="Arial" w:hAnsi="Arial" w:cs="Arial"/>
                <w:b/>
                <w:sz w:val="20"/>
              </w:rPr>
              <w:t xml:space="preserve">examples.  You do not need to evidence every point in the </w:t>
            </w:r>
            <w:proofErr w:type="gramStart"/>
            <w:r w:rsidRPr="00E95793">
              <w:rPr>
                <w:rFonts w:ascii="Arial" w:hAnsi="Arial" w:cs="Arial"/>
                <w:b/>
                <w:sz w:val="20"/>
              </w:rPr>
              <w:t>Code, but</w:t>
            </w:r>
            <w:proofErr w:type="gramEnd"/>
            <w:r w:rsidRPr="00E95793">
              <w:rPr>
                <w:rFonts w:ascii="Arial" w:hAnsi="Arial" w:cs="Arial"/>
                <w:b/>
                <w:sz w:val="20"/>
              </w:rPr>
              <w:t xml:space="preserve"> choose </w:t>
            </w:r>
            <w:r>
              <w:rPr>
                <w:rFonts w:ascii="Arial" w:hAnsi="Arial" w:cs="Arial"/>
                <w:b/>
                <w:sz w:val="20"/>
              </w:rPr>
              <w:t>two</w:t>
            </w:r>
            <w:r w:rsidRPr="00E95793">
              <w:rPr>
                <w:rFonts w:ascii="Arial" w:hAnsi="Arial" w:cs="Arial"/>
                <w:b/>
                <w:sz w:val="20"/>
              </w:rPr>
              <w:t xml:space="preserve"> examples in which you have been </w:t>
            </w:r>
            <w:r w:rsidRPr="007C6203">
              <w:rPr>
                <w:rFonts w:ascii="Arial" w:hAnsi="Arial" w:cs="Arial"/>
                <w:b/>
                <w:sz w:val="20"/>
                <w:u w:val="single"/>
              </w:rPr>
              <w:t>personally</w:t>
            </w:r>
            <w:r w:rsidRPr="00E95793">
              <w:rPr>
                <w:rFonts w:ascii="Arial" w:hAnsi="Arial" w:cs="Arial"/>
                <w:b/>
                <w:sz w:val="20"/>
              </w:rPr>
              <w:t xml:space="preserve"> involved and explain the impact that these have had on your practice. </w:t>
            </w:r>
            <w:r w:rsidR="007C6203">
              <w:rPr>
                <w:rFonts w:ascii="Arial" w:hAnsi="Arial" w:cs="Arial"/>
                <w:b/>
                <w:sz w:val="20"/>
              </w:rPr>
              <w:t>Ideally these examples should be from cases that were within your designation.</w:t>
            </w:r>
          </w:p>
          <w:p w14:paraId="6E266DB9" w14:textId="77777777" w:rsidR="00712414" w:rsidRPr="00E543A8" w:rsidRDefault="00712414" w:rsidP="003C61E1">
            <w:pPr>
              <w:rPr>
                <w:rFonts w:ascii="Arial" w:hAnsi="Arial" w:cs="Arial"/>
                <w:b/>
                <w:sz w:val="20"/>
              </w:rPr>
            </w:pPr>
          </w:p>
          <w:p w14:paraId="534C3184" w14:textId="77777777" w:rsidR="00712414" w:rsidRPr="00E543A8" w:rsidRDefault="00712414" w:rsidP="003C61E1">
            <w:pPr>
              <w:rPr>
                <w:rFonts w:ascii="Arial" w:hAnsi="Arial" w:cs="Arial"/>
                <w:b/>
                <w:sz w:val="20"/>
              </w:rPr>
            </w:pPr>
          </w:p>
          <w:p w14:paraId="2D147098" w14:textId="77777777" w:rsidR="00712414" w:rsidRPr="00E543A8" w:rsidRDefault="00712414" w:rsidP="003C61E1">
            <w:pPr>
              <w:rPr>
                <w:rFonts w:ascii="Arial" w:hAnsi="Arial" w:cs="Arial"/>
                <w:b/>
                <w:sz w:val="20"/>
              </w:rPr>
            </w:pPr>
          </w:p>
          <w:p w14:paraId="04303051" w14:textId="77777777" w:rsidR="00712414" w:rsidRPr="00E543A8" w:rsidRDefault="00712414" w:rsidP="003C61E1">
            <w:pPr>
              <w:rPr>
                <w:rFonts w:ascii="Arial" w:hAnsi="Arial" w:cs="Arial"/>
                <w:b/>
                <w:sz w:val="20"/>
              </w:rPr>
            </w:pPr>
          </w:p>
          <w:p w14:paraId="47BA56A3" w14:textId="77777777" w:rsidR="00712414" w:rsidRPr="00E543A8" w:rsidRDefault="00712414" w:rsidP="003C61E1">
            <w:pPr>
              <w:rPr>
                <w:rFonts w:ascii="Arial" w:hAnsi="Arial" w:cs="Arial"/>
                <w:b/>
                <w:sz w:val="20"/>
              </w:rPr>
            </w:pPr>
          </w:p>
          <w:p w14:paraId="529A826E" w14:textId="77777777" w:rsidR="00712414" w:rsidRPr="00E543A8" w:rsidRDefault="00712414" w:rsidP="003C61E1">
            <w:pPr>
              <w:rPr>
                <w:rFonts w:ascii="Arial" w:hAnsi="Arial" w:cs="Arial"/>
                <w:b/>
                <w:sz w:val="20"/>
              </w:rPr>
            </w:pPr>
          </w:p>
          <w:p w14:paraId="0C8AA04A" w14:textId="77777777" w:rsidR="00712414" w:rsidRPr="00E543A8" w:rsidRDefault="00712414" w:rsidP="003C61E1">
            <w:pPr>
              <w:rPr>
                <w:rFonts w:ascii="Arial" w:hAnsi="Arial" w:cs="Arial"/>
                <w:b/>
                <w:sz w:val="20"/>
              </w:rPr>
            </w:pPr>
          </w:p>
          <w:p w14:paraId="3D33E0B1" w14:textId="77777777" w:rsidR="00712414" w:rsidRPr="00E543A8" w:rsidRDefault="00712414" w:rsidP="003C61E1">
            <w:pPr>
              <w:rPr>
                <w:rFonts w:ascii="Arial" w:hAnsi="Arial" w:cs="Arial"/>
                <w:b/>
                <w:sz w:val="20"/>
              </w:rPr>
            </w:pPr>
          </w:p>
          <w:p w14:paraId="0A3FCDC8" w14:textId="77777777" w:rsidR="00712414" w:rsidRPr="00E543A8" w:rsidRDefault="00712414" w:rsidP="003C61E1">
            <w:pPr>
              <w:rPr>
                <w:rFonts w:ascii="Arial" w:hAnsi="Arial" w:cs="Arial"/>
                <w:b/>
                <w:sz w:val="20"/>
              </w:rPr>
            </w:pPr>
          </w:p>
          <w:p w14:paraId="4CC61F36" w14:textId="77777777" w:rsidR="00712414" w:rsidRPr="00E543A8" w:rsidRDefault="00712414" w:rsidP="003C61E1">
            <w:pPr>
              <w:rPr>
                <w:rFonts w:ascii="Arial" w:hAnsi="Arial" w:cs="Arial"/>
                <w:b/>
                <w:sz w:val="20"/>
              </w:rPr>
            </w:pPr>
          </w:p>
          <w:p w14:paraId="67A8453D" w14:textId="77777777" w:rsidR="00712414" w:rsidRPr="00E543A8" w:rsidRDefault="00712414" w:rsidP="003C61E1">
            <w:pPr>
              <w:rPr>
                <w:rFonts w:ascii="Arial" w:hAnsi="Arial" w:cs="Arial"/>
                <w:b/>
                <w:sz w:val="20"/>
              </w:rPr>
            </w:pPr>
          </w:p>
          <w:p w14:paraId="3D752135" w14:textId="77777777" w:rsidR="00712414" w:rsidRPr="00E543A8" w:rsidRDefault="00712414" w:rsidP="003C61E1">
            <w:pPr>
              <w:rPr>
                <w:rFonts w:ascii="Arial" w:hAnsi="Arial" w:cs="Arial"/>
                <w:b/>
                <w:sz w:val="20"/>
              </w:rPr>
            </w:pPr>
          </w:p>
          <w:p w14:paraId="5187C53F" w14:textId="77777777" w:rsidR="00712414" w:rsidRPr="00E543A8" w:rsidRDefault="00712414" w:rsidP="003C61E1">
            <w:pPr>
              <w:rPr>
                <w:rFonts w:ascii="Arial" w:hAnsi="Arial" w:cs="Arial"/>
                <w:b/>
                <w:sz w:val="20"/>
              </w:rPr>
            </w:pPr>
          </w:p>
          <w:p w14:paraId="60A6D74E" w14:textId="77777777" w:rsidR="00712414" w:rsidRPr="00E543A8" w:rsidRDefault="00712414" w:rsidP="003C61E1">
            <w:pPr>
              <w:rPr>
                <w:rFonts w:ascii="Arial" w:hAnsi="Arial" w:cs="Arial"/>
                <w:b/>
                <w:sz w:val="20"/>
              </w:rPr>
            </w:pPr>
          </w:p>
          <w:p w14:paraId="7B9EA7DE" w14:textId="77777777" w:rsidR="00712414" w:rsidRPr="00E543A8" w:rsidRDefault="00712414" w:rsidP="003C61E1">
            <w:pPr>
              <w:rPr>
                <w:rFonts w:ascii="Arial" w:hAnsi="Arial" w:cs="Arial"/>
                <w:b/>
                <w:sz w:val="20"/>
              </w:rPr>
            </w:pPr>
          </w:p>
          <w:p w14:paraId="109AFC5E" w14:textId="77777777" w:rsidR="00712414" w:rsidRPr="00E543A8" w:rsidRDefault="00712414" w:rsidP="003C61E1">
            <w:pPr>
              <w:rPr>
                <w:rFonts w:ascii="Arial" w:hAnsi="Arial" w:cs="Arial"/>
                <w:b/>
                <w:sz w:val="20"/>
              </w:rPr>
            </w:pPr>
          </w:p>
          <w:p w14:paraId="24D05A6C" w14:textId="77777777" w:rsidR="00712414" w:rsidRPr="00E543A8" w:rsidRDefault="00712414" w:rsidP="003C61E1">
            <w:pPr>
              <w:rPr>
                <w:rFonts w:ascii="Arial" w:hAnsi="Arial" w:cs="Arial"/>
                <w:b/>
                <w:sz w:val="20"/>
              </w:rPr>
            </w:pPr>
          </w:p>
          <w:p w14:paraId="6829A485" w14:textId="77777777" w:rsidR="00712414" w:rsidRPr="00E543A8" w:rsidRDefault="00712414" w:rsidP="003C61E1">
            <w:pPr>
              <w:rPr>
                <w:rFonts w:ascii="Arial" w:hAnsi="Arial" w:cs="Arial"/>
                <w:b/>
                <w:sz w:val="20"/>
              </w:rPr>
            </w:pPr>
          </w:p>
          <w:p w14:paraId="20996081" w14:textId="77777777" w:rsidR="00712414" w:rsidRPr="00E543A8" w:rsidRDefault="00712414" w:rsidP="003C61E1">
            <w:pPr>
              <w:rPr>
                <w:rFonts w:ascii="Arial" w:hAnsi="Arial" w:cs="Arial"/>
                <w:b/>
                <w:sz w:val="20"/>
              </w:rPr>
            </w:pPr>
          </w:p>
          <w:p w14:paraId="3717F4B4" w14:textId="77777777" w:rsidR="00712414" w:rsidRPr="00E543A8" w:rsidRDefault="00712414" w:rsidP="003C61E1">
            <w:pPr>
              <w:rPr>
                <w:rFonts w:ascii="Arial" w:hAnsi="Arial" w:cs="Arial"/>
                <w:b/>
                <w:sz w:val="20"/>
              </w:rPr>
            </w:pPr>
          </w:p>
          <w:p w14:paraId="2D136DF1" w14:textId="77777777" w:rsidR="00712414" w:rsidRPr="00E543A8" w:rsidRDefault="00712414" w:rsidP="003C61E1">
            <w:pPr>
              <w:rPr>
                <w:rFonts w:ascii="Arial" w:hAnsi="Arial" w:cs="Arial"/>
                <w:b/>
                <w:sz w:val="20"/>
              </w:rPr>
            </w:pPr>
          </w:p>
          <w:p w14:paraId="5D6D7424" w14:textId="77777777" w:rsidR="00712414" w:rsidRPr="00E543A8" w:rsidRDefault="00712414" w:rsidP="003C61E1">
            <w:pPr>
              <w:rPr>
                <w:rFonts w:ascii="Arial" w:hAnsi="Arial" w:cs="Arial"/>
                <w:b/>
                <w:sz w:val="20"/>
              </w:rPr>
            </w:pPr>
          </w:p>
          <w:p w14:paraId="4B0D6EC1" w14:textId="77777777" w:rsidR="00712414" w:rsidRPr="00E543A8" w:rsidRDefault="00712414" w:rsidP="003C61E1">
            <w:pPr>
              <w:rPr>
                <w:rFonts w:ascii="Arial" w:hAnsi="Arial" w:cs="Arial"/>
                <w:b/>
                <w:sz w:val="20"/>
              </w:rPr>
            </w:pPr>
          </w:p>
          <w:p w14:paraId="5D5ECE9C" w14:textId="77777777" w:rsidR="00712414" w:rsidRPr="00E543A8" w:rsidRDefault="00712414" w:rsidP="003C61E1">
            <w:pPr>
              <w:rPr>
                <w:rFonts w:ascii="Arial" w:hAnsi="Arial" w:cs="Arial"/>
                <w:b/>
                <w:sz w:val="20"/>
              </w:rPr>
            </w:pPr>
          </w:p>
          <w:p w14:paraId="1929111D" w14:textId="77777777" w:rsidR="00712414" w:rsidRPr="00E543A8" w:rsidRDefault="00712414" w:rsidP="003C61E1">
            <w:pPr>
              <w:rPr>
                <w:rFonts w:ascii="Arial" w:hAnsi="Arial" w:cs="Arial"/>
                <w:b/>
                <w:sz w:val="20"/>
              </w:rPr>
            </w:pPr>
          </w:p>
          <w:p w14:paraId="5782423A" w14:textId="77777777" w:rsidR="00712414" w:rsidRPr="00E543A8" w:rsidRDefault="00712414" w:rsidP="003C61E1">
            <w:pPr>
              <w:rPr>
                <w:rFonts w:ascii="Arial" w:hAnsi="Arial" w:cs="Arial"/>
                <w:b/>
                <w:sz w:val="20"/>
              </w:rPr>
            </w:pPr>
          </w:p>
          <w:p w14:paraId="3B3389DB" w14:textId="77777777" w:rsidR="00712414" w:rsidRDefault="00712414" w:rsidP="003C61E1">
            <w:pPr>
              <w:rPr>
                <w:rFonts w:ascii="Arial" w:hAnsi="Arial" w:cs="Arial"/>
                <w:b/>
                <w:sz w:val="20"/>
              </w:rPr>
            </w:pPr>
          </w:p>
          <w:p w14:paraId="433C67C8" w14:textId="77777777" w:rsidR="00712414" w:rsidRDefault="00712414" w:rsidP="003C61E1">
            <w:pPr>
              <w:rPr>
                <w:rFonts w:ascii="Arial" w:hAnsi="Arial" w:cs="Arial"/>
                <w:b/>
                <w:sz w:val="20"/>
              </w:rPr>
            </w:pPr>
          </w:p>
          <w:p w14:paraId="7F663998" w14:textId="77777777" w:rsidR="00712414" w:rsidRDefault="00712414" w:rsidP="003C61E1">
            <w:pPr>
              <w:rPr>
                <w:rFonts w:ascii="Arial" w:hAnsi="Arial" w:cs="Arial"/>
                <w:b/>
                <w:sz w:val="20"/>
              </w:rPr>
            </w:pPr>
          </w:p>
          <w:p w14:paraId="0FBC8989" w14:textId="77777777" w:rsidR="00712414" w:rsidRDefault="00712414" w:rsidP="003C61E1">
            <w:pPr>
              <w:rPr>
                <w:rFonts w:ascii="Arial" w:hAnsi="Arial" w:cs="Arial"/>
                <w:b/>
                <w:sz w:val="20"/>
              </w:rPr>
            </w:pPr>
          </w:p>
          <w:p w14:paraId="4EF5166C" w14:textId="77777777" w:rsidR="00712414" w:rsidRPr="00E543A8" w:rsidRDefault="00712414" w:rsidP="003C61E1">
            <w:pPr>
              <w:rPr>
                <w:rFonts w:ascii="Arial" w:hAnsi="Arial" w:cs="Arial"/>
                <w:b/>
                <w:sz w:val="20"/>
              </w:rPr>
            </w:pPr>
          </w:p>
        </w:tc>
      </w:tr>
    </w:tbl>
    <w:p w14:paraId="20CBB0FA" w14:textId="77777777" w:rsidR="00712414" w:rsidRDefault="00712414" w:rsidP="00712414">
      <w:pPr>
        <w:spacing w:after="200" w:line="276" w:lineRule="auto"/>
        <w:rPr>
          <w:rFonts w:ascii="Arial" w:eastAsia="Arial" w:hAnsi="Arial" w:cs="Arial"/>
          <w:b/>
          <w:color w:val="007DB1"/>
          <w:sz w:val="14"/>
        </w:rPr>
      </w:pPr>
    </w:p>
    <w:p w14:paraId="415130DA" w14:textId="77777777" w:rsidR="000B42BB" w:rsidRDefault="000B42BB"/>
    <w:sectPr w:rsidR="000B4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0A5"/>
    <w:multiLevelType w:val="multilevel"/>
    <w:tmpl w:val="99B40C9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CB2BF8"/>
    <w:multiLevelType w:val="multilevel"/>
    <w:tmpl w:val="0F6AD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6133594">
    <w:abstractNumId w:val="1"/>
  </w:num>
  <w:num w:numId="2" w16cid:durableId="10487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14"/>
    <w:rsid w:val="000B42BB"/>
    <w:rsid w:val="00211179"/>
    <w:rsid w:val="00712414"/>
    <w:rsid w:val="007C6203"/>
    <w:rsid w:val="00A0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5FB5D"/>
  <w15:chartTrackingRefBased/>
  <w15:docId w15:val="{4607438C-32A5-4EBA-880E-FE9429A3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1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vetaud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Hogg</dc:creator>
  <cp:keywords/>
  <dc:description/>
  <cp:lastModifiedBy>Laura Hogg</cp:lastModifiedBy>
  <cp:revision>4</cp:revision>
  <dcterms:created xsi:type="dcterms:W3CDTF">2018-12-20T14:10:00Z</dcterms:created>
  <dcterms:modified xsi:type="dcterms:W3CDTF">2023-04-24T15:01:00Z</dcterms:modified>
</cp:coreProperties>
</file>