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08"/>
        <w:gridCol w:w="4508"/>
      </w:tblGrid>
      <w:tr w:rsidR="003B49FF" w:rsidRPr="006405F2" w14:paraId="03CF147C" w14:textId="77777777" w:rsidTr="00D0311C">
        <w:tc>
          <w:tcPr>
            <w:tcW w:w="4508" w:type="dxa"/>
          </w:tcPr>
          <w:p w14:paraId="56B8727F" w14:textId="77777777" w:rsidR="00AD76C8" w:rsidRPr="006405F2" w:rsidRDefault="00AD76C8" w:rsidP="00E52C1D">
            <w:pPr>
              <w:spacing w:beforeAutospacing="0" w:after="0" w:afterAutospacing="0" w:line="360" w:lineRule="auto"/>
              <w:rPr>
                <w:rFonts w:ascii="Arial" w:hAnsi="Arial" w:cs="Arial"/>
                <w:b/>
                <w:bCs/>
                <w:color w:val="000000" w:themeColor="text1"/>
                <w:sz w:val="20"/>
                <w:szCs w:val="20"/>
              </w:rPr>
            </w:pPr>
            <w:r w:rsidRPr="006405F2">
              <w:rPr>
                <w:rFonts w:ascii="Arial" w:hAnsi="Arial" w:cs="Arial"/>
                <w:b/>
                <w:bCs/>
                <w:color w:val="000000" w:themeColor="text1"/>
                <w:sz w:val="20"/>
                <w:szCs w:val="20"/>
              </w:rPr>
              <w:t>Reference Number</w:t>
            </w:r>
          </w:p>
        </w:tc>
        <w:tc>
          <w:tcPr>
            <w:tcW w:w="4508" w:type="dxa"/>
          </w:tcPr>
          <w:p w14:paraId="7D0D56FD" w14:textId="6BDBEF35" w:rsidR="00AD76C8" w:rsidRPr="006405F2" w:rsidRDefault="0036164D" w:rsidP="00E52C1D">
            <w:pPr>
              <w:spacing w:beforeAutospacing="0" w:after="0" w:afterAutospacing="0" w:line="360" w:lineRule="auto"/>
              <w:rPr>
                <w:rFonts w:ascii="Arial" w:hAnsi="Arial" w:cs="Arial"/>
                <w:color w:val="000000" w:themeColor="text1"/>
                <w:sz w:val="20"/>
                <w:szCs w:val="20"/>
              </w:rPr>
            </w:pPr>
            <w:r w:rsidRPr="006405F2">
              <w:rPr>
                <w:rFonts w:ascii="Arial" w:hAnsi="Arial" w:cs="Arial"/>
                <w:color w:val="000000" w:themeColor="text1"/>
                <w:sz w:val="20"/>
                <w:szCs w:val="20"/>
              </w:rPr>
              <w:t>C-VPH.1</w:t>
            </w:r>
          </w:p>
        </w:tc>
      </w:tr>
      <w:tr w:rsidR="003B49FF" w:rsidRPr="006405F2" w14:paraId="3AA300EF" w14:textId="77777777" w:rsidTr="00D0311C">
        <w:tc>
          <w:tcPr>
            <w:tcW w:w="4508" w:type="dxa"/>
          </w:tcPr>
          <w:p w14:paraId="3A51942A" w14:textId="77777777" w:rsidR="00AD76C8" w:rsidRPr="006405F2" w:rsidRDefault="00AD76C8" w:rsidP="00E52C1D">
            <w:pPr>
              <w:spacing w:beforeAutospacing="0" w:after="0" w:afterAutospacing="0" w:line="360" w:lineRule="auto"/>
              <w:rPr>
                <w:rFonts w:ascii="Arial" w:hAnsi="Arial" w:cs="Arial"/>
                <w:b/>
                <w:bCs/>
                <w:color w:val="000000" w:themeColor="text1"/>
                <w:sz w:val="20"/>
                <w:szCs w:val="20"/>
              </w:rPr>
            </w:pPr>
            <w:r w:rsidRPr="006405F2">
              <w:rPr>
                <w:rFonts w:ascii="Arial" w:hAnsi="Arial" w:cs="Arial"/>
                <w:b/>
                <w:bCs/>
                <w:color w:val="000000" w:themeColor="text1"/>
                <w:sz w:val="20"/>
                <w:szCs w:val="20"/>
              </w:rPr>
              <w:t>Module Title</w:t>
            </w:r>
          </w:p>
        </w:tc>
        <w:tc>
          <w:tcPr>
            <w:tcW w:w="4508" w:type="dxa"/>
          </w:tcPr>
          <w:p w14:paraId="66ADF529" w14:textId="2E9B0E7E" w:rsidR="00AD76C8" w:rsidRPr="006405F2" w:rsidRDefault="0036164D" w:rsidP="00E52C1D">
            <w:pPr>
              <w:spacing w:beforeAutospacing="0" w:after="0" w:afterAutospacing="0" w:line="360" w:lineRule="auto"/>
              <w:rPr>
                <w:rFonts w:ascii="Arial" w:hAnsi="Arial" w:cs="Arial"/>
                <w:color w:val="000000" w:themeColor="text1"/>
                <w:sz w:val="20"/>
                <w:szCs w:val="20"/>
              </w:rPr>
            </w:pPr>
            <w:r w:rsidRPr="006405F2">
              <w:rPr>
                <w:rFonts w:ascii="Arial" w:hAnsi="Arial" w:cs="Arial"/>
                <w:color w:val="000000" w:themeColor="text1"/>
                <w:sz w:val="20"/>
                <w:szCs w:val="20"/>
              </w:rPr>
              <w:t>Animal Welfare in the Food Chain</w:t>
            </w:r>
          </w:p>
        </w:tc>
      </w:tr>
      <w:tr w:rsidR="003B49FF" w:rsidRPr="006405F2" w14:paraId="1FE01D85" w14:textId="77777777" w:rsidTr="00D0311C">
        <w:tc>
          <w:tcPr>
            <w:tcW w:w="4508" w:type="dxa"/>
          </w:tcPr>
          <w:p w14:paraId="1A679EE7" w14:textId="77777777" w:rsidR="00AD76C8" w:rsidRPr="006405F2" w:rsidRDefault="00AD76C8" w:rsidP="00E52C1D">
            <w:pPr>
              <w:spacing w:beforeAutospacing="0" w:after="0" w:afterAutospacing="0" w:line="360" w:lineRule="auto"/>
              <w:rPr>
                <w:rFonts w:ascii="Arial" w:hAnsi="Arial" w:cs="Arial"/>
                <w:b/>
                <w:bCs/>
                <w:color w:val="000000" w:themeColor="text1"/>
                <w:sz w:val="20"/>
                <w:szCs w:val="20"/>
              </w:rPr>
            </w:pPr>
            <w:r w:rsidRPr="006405F2">
              <w:rPr>
                <w:rFonts w:ascii="Arial" w:hAnsi="Arial" w:cs="Arial"/>
                <w:b/>
                <w:bCs/>
                <w:color w:val="000000" w:themeColor="text1"/>
                <w:sz w:val="20"/>
                <w:szCs w:val="20"/>
              </w:rPr>
              <w:t>Category and Value</w:t>
            </w:r>
          </w:p>
        </w:tc>
        <w:tc>
          <w:tcPr>
            <w:tcW w:w="4508" w:type="dxa"/>
          </w:tcPr>
          <w:p w14:paraId="1447C1BD" w14:textId="77777777" w:rsidR="00AD76C8" w:rsidRPr="006405F2" w:rsidRDefault="00AD76C8" w:rsidP="00E52C1D">
            <w:pPr>
              <w:spacing w:beforeAutospacing="0" w:after="0" w:afterAutospacing="0" w:line="360" w:lineRule="auto"/>
              <w:rPr>
                <w:rFonts w:ascii="Arial" w:hAnsi="Arial" w:cs="Arial"/>
                <w:color w:val="000000" w:themeColor="text1"/>
                <w:sz w:val="20"/>
                <w:szCs w:val="20"/>
              </w:rPr>
            </w:pPr>
            <w:r w:rsidRPr="006405F2">
              <w:rPr>
                <w:rFonts w:ascii="Arial" w:hAnsi="Arial" w:cs="Arial"/>
                <w:color w:val="000000" w:themeColor="text1"/>
                <w:sz w:val="20"/>
                <w:szCs w:val="20"/>
              </w:rPr>
              <w:t>C – 10 credits</w:t>
            </w:r>
          </w:p>
        </w:tc>
      </w:tr>
      <w:tr w:rsidR="00AD76C8" w:rsidRPr="006405F2" w14:paraId="337EC43A" w14:textId="77777777" w:rsidTr="00D0311C">
        <w:trPr>
          <w:trHeight w:val="70"/>
        </w:trPr>
        <w:tc>
          <w:tcPr>
            <w:tcW w:w="4508" w:type="dxa"/>
          </w:tcPr>
          <w:p w14:paraId="73D93115" w14:textId="77777777" w:rsidR="00AD76C8" w:rsidRPr="006405F2" w:rsidRDefault="00AD76C8" w:rsidP="00E52C1D">
            <w:pPr>
              <w:spacing w:beforeAutospacing="0" w:after="0" w:afterAutospacing="0" w:line="360" w:lineRule="auto"/>
              <w:rPr>
                <w:rFonts w:ascii="Arial" w:hAnsi="Arial" w:cs="Arial"/>
                <w:b/>
                <w:bCs/>
                <w:color w:val="000000" w:themeColor="text1"/>
                <w:sz w:val="20"/>
                <w:szCs w:val="20"/>
              </w:rPr>
            </w:pPr>
            <w:r w:rsidRPr="006405F2">
              <w:rPr>
                <w:rFonts w:ascii="Arial" w:hAnsi="Arial" w:cs="Arial"/>
                <w:b/>
                <w:bCs/>
                <w:color w:val="000000" w:themeColor="text1"/>
                <w:sz w:val="20"/>
                <w:szCs w:val="20"/>
              </w:rPr>
              <w:t>Study Hours</w:t>
            </w:r>
          </w:p>
        </w:tc>
        <w:tc>
          <w:tcPr>
            <w:tcW w:w="4508" w:type="dxa"/>
          </w:tcPr>
          <w:p w14:paraId="6E3CF48D" w14:textId="77777777" w:rsidR="00AD76C8" w:rsidRPr="006405F2" w:rsidRDefault="00AD76C8" w:rsidP="00E52C1D">
            <w:pPr>
              <w:spacing w:beforeAutospacing="0" w:after="0" w:afterAutospacing="0" w:line="360" w:lineRule="auto"/>
              <w:rPr>
                <w:rFonts w:ascii="Arial" w:hAnsi="Arial" w:cs="Arial"/>
                <w:color w:val="000000" w:themeColor="text1"/>
                <w:sz w:val="20"/>
                <w:szCs w:val="20"/>
              </w:rPr>
            </w:pPr>
            <w:r w:rsidRPr="006405F2">
              <w:rPr>
                <w:rFonts w:ascii="Arial" w:hAnsi="Arial" w:cs="Arial"/>
                <w:color w:val="000000" w:themeColor="text1"/>
                <w:sz w:val="20"/>
                <w:szCs w:val="20"/>
              </w:rPr>
              <w:t>100</w:t>
            </w:r>
          </w:p>
        </w:tc>
      </w:tr>
    </w:tbl>
    <w:p w14:paraId="213ABA6A" w14:textId="77777777" w:rsidR="00AD76C8" w:rsidRPr="006405F2" w:rsidRDefault="00AD76C8" w:rsidP="00E52C1D">
      <w:pPr>
        <w:spacing w:after="0" w:line="360" w:lineRule="auto"/>
        <w:rPr>
          <w:rFonts w:ascii="Arial" w:hAnsi="Arial" w:cs="Arial"/>
          <w:color w:val="000000" w:themeColor="text1"/>
          <w:sz w:val="20"/>
          <w:szCs w:val="20"/>
        </w:rPr>
      </w:pPr>
    </w:p>
    <w:p w14:paraId="650E4A13" w14:textId="77777777" w:rsidR="00AD76C8" w:rsidRPr="006405F2" w:rsidRDefault="00AD76C8" w:rsidP="00E52C1D">
      <w:pPr>
        <w:spacing w:after="0" w:line="360" w:lineRule="auto"/>
        <w:rPr>
          <w:rFonts w:ascii="Arial" w:hAnsi="Arial" w:cs="Arial"/>
          <w:b/>
          <w:bCs/>
          <w:color w:val="000000" w:themeColor="text1"/>
          <w:sz w:val="20"/>
          <w:szCs w:val="20"/>
        </w:rPr>
      </w:pPr>
      <w:r w:rsidRPr="006405F2">
        <w:rPr>
          <w:rFonts w:ascii="Arial" w:hAnsi="Arial" w:cs="Arial"/>
          <w:b/>
          <w:bCs/>
          <w:color w:val="000000" w:themeColor="text1"/>
          <w:sz w:val="20"/>
          <w:szCs w:val="20"/>
        </w:rPr>
        <w:t>Introduction</w:t>
      </w:r>
    </w:p>
    <w:p w14:paraId="703CA55F" w14:textId="77777777" w:rsidR="00AD76C8" w:rsidRPr="006405F2" w:rsidRDefault="00AD76C8" w:rsidP="00E52C1D">
      <w:pPr>
        <w:spacing w:after="0" w:line="360" w:lineRule="auto"/>
        <w:rPr>
          <w:rFonts w:ascii="Arial" w:hAnsi="Arial" w:cs="Arial"/>
          <w:color w:val="000000" w:themeColor="text1"/>
          <w:sz w:val="20"/>
          <w:szCs w:val="20"/>
        </w:rPr>
      </w:pPr>
    </w:p>
    <w:p w14:paraId="47FD9681" w14:textId="77777777" w:rsidR="0036164D" w:rsidRPr="006405F2" w:rsidRDefault="0036164D" w:rsidP="00E52C1D">
      <w:pPr>
        <w:pStyle w:val="RCVSBody"/>
        <w:spacing w:line="360" w:lineRule="auto"/>
        <w:rPr>
          <w:rFonts w:ascii="Arial" w:hAnsi="Arial" w:cs="Arial"/>
          <w:color w:val="000000" w:themeColor="text1"/>
          <w:sz w:val="20"/>
        </w:rPr>
      </w:pPr>
      <w:r w:rsidRPr="006405F2">
        <w:rPr>
          <w:rFonts w:ascii="Arial" w:hAnsi="Arial" w:cs="Arial"/>
          <w:color w:val="000000" w:themeColor="text1"/>
          <w:sz w:val="20"/>
        </w:rPr>
        <w:t>Coverage of this module may be integrated with others, particularly other B and C modules.  All candidates will normally have completed A-FAVP.1 Foundations of Advanced Veterinary Practice module, and at least one of the practice B modules, before undertaking a C module, although candidates can choose to work through modules in a different order if they wish.  In whichever order modules are tackled, compliance with best practice for all the topics covered by module A-FAVP.1 will be expected whenever these are appropriate in C modules.  For example, awareness of, and compliance with, all relevant legislation, welfare and ethical principles will be required throughout.</w:t>
      </w:r>
    </w:p>
    <w:p w14:paraId="6683ACDA" w14:textId="77777777" w:rsidR="0036164D" w:rsidRPr="006405F2" w:rsidRDefault="0036164D" w:rsidP="00E52C1D">
      <w:pPr>
        <w:pStyle w:val="RCVSBody"/>
        <w:spacing w:line="360" w:lineRule="auto"/>
        <w:rPr>
          <w:rFonts w:ascii="Arial" w:hAnsi="Arial" w:cs="Arial"/>
          <w:color w:val="000000" w:themeColor="text1"/>
          <w:sz w:val="20"/>
        </w:rPr>
      </w:pPr>
    </w:p>
    <w:p w14:paraId="04A0DB86" w14:textId="77777777" w:rsidR="0036164D" w:rsidRPr="006405F2" w:rsidRDefault="0036164D" w:rsidP="00E52C1D">
      <w:pPr>
        <w:keepNext/>
        <w:keepLines/>
        <w:suppressAutoHyphens/>
        <w:spacing w:after="0" w:line="360" w:lineRule="auto"/>
        <w:outlineLvl w:val="1"/>
        <w:rPr>
          <w:rFonts w:ascii="Arial" w:eastAsia="Calibri" w:hAnsi="Arial" w:cs="Arial"/>
          <w:color w:val="000000" w:themeColor="text1"/>
          <w:sz w:val="20"/>
          <w:szCs w:val="20"/>
        </w:rPr>
      </w:pPr>
      <w:r w:rsidRPr="006405F2">
        <w:rPr>
          <w:rFonts w:ascii="Arial" w:hAnsi="Arial" w:cs="Arial"/>
          <w:color w:val="000000" w:themeColor="text1"/>
          <w:sz w:val="20"/>
          <w:szCs w:val="20"/>
        </w:rPr>
        <w:t xml:space="preserve">For a designated Certificate in Advanced Veterinary Practice (Veterinary Public Health) candidates must complete this module, two further C-VPH or C-VEPI modules, a fourth 10 credit module and an RCVS synoptic assessment.  It can be also taken as a </w:t>
      </w:r>
      <w:proofErr w:type="gramStart"/>
      <w:r w:rsidRPr="006405F2">
        <w:rPr>
          <w:rFonts w:ascii="Arial" w:hAnsi="Arial" w:cs="Arial"/>
          <w:color w:val="000000" w:themeColor="text1"/>
          <w:sz w:val="20"/>
          <w:szCs w:val="20"/>
        </w:rPr>
        <w:t>free standing</w:t>
      </w:r>
      <w:proofErr w:type="gramEnd"/>
      <w:r w:rsidRPr="006405F2">
        <w:rPr>
          <w:rFonts w:ascii="Arial" w:hAnsi="Arial" w:cs="Arial"/>
          <w:color w:val="000000" w:themeColor="text1"/>
          <w:sz w:val="20"/>
          <w:szCs w:val="20"/>
        </w:rPr>
        <w:t xml:space="preserve"> </w:t>
      </w:r>
      <w:r w:rsidRPr="006405F2">
        <w:rPr>
          <w:rFonts w:ascii="Arial" w:eastAsia="Calibri" w:hAnsi="Arial" w:cs="Arial"/>
          <w:color w:val="000000" w:themeColor="text1"/>
          <w:sz w:val="20"/>
          <w:szCs w:val="20"/>
        </w:rPr>
        <w:t>module.</w:t>
      </w:r>
    </w:p>
    <w:p w14:paraId="627F43C5" w14:textId="67C10319" w:rsidR="00AD76C8" w:rsidRPr="006405F2" w:rsidRDefault="00AD76C8" w:rsidP="00E52C1D">
      <w:pPr>
        <w:spacing w:after="0" w:line="360" w:lineRule="auto"/>
        <w:rPr>
          <w:rFonts w:ascii="Arial" w:eastAsia="Calibri" w:hAnsi="Arial" w:cs="Arial"/>
          <w:color w:val="000000" w:themeColor="text1"/>
          <w:sz w:val="20"/>
          <w:szCs w:val="20"/>
        </w:rPr>
      </w:pPr>
    </w:p>
    <w:p w14:paraId="72A0C353" w14:textId="77777777" w:rsidR="00E52C1D" w:rsidRPr="006405F2" w:rsidRDefault="00E52C1D" w:rsidP="00E52C1D">
      <w:pPr>
        <w:spacing w:after="0" w:line="360" w:lineRule="auto"/>
        <w:rPr>
          <w:rFonts w:ascii="Arial" w:eastAsia="Calibri" w:hAnsi="Arial" w:cs="Arial"/>
          <w:color w:val="000000" w:themeColor="text1"/>
          <w:sz w:val="20"/>
          <w:szCs w:val="20"/>
        </w:rPr>
      </w:pPr>
    </w:p>
    <w:p w14:paraId="4757B98D" w14:textId="77777777" w:rsidR="00AD76C8" w:rsidRPr="006405F2" w:rsidRDefault="00AD76C8" w:rsidP="00E52C1D">
      <w:pPr>
        <w:spacing w:after="0" w:line="360" w:lineRule="auto"/>
        <w:rPr>
          <w:rFonts w:ascii="Arial" w:hAnsi="Arial" w:cs="Arial"/>
          <w:b/>
          <w:bCs/>
          <w:color w:val="000000" w:themeColor="text1"/>
          <w:sz w:val="20"/>
          <w:szCs w:val="20"/>
        </w:rPr>
      </w:pPr>
      <w:r w:rsidRPr="006405F2">
        <w:rPr>
          <w:rFonts w:ascii="Arial" w:hAnsi="Arial" w:cs="Arial"/>
          <w:b/>
          <w:bCs/>
          <w:color w:val="000000" w:themeColor="text1"/>
          <w:sz w:val="20"/>
          <w:szCs w:val="20"/>
        </w:rPr>
        <w:t xml:space="preserve">Aims </w:t>
      </w:r>
    </w:p>
    <w:p w14:paraId="0B764006" w14:textId="77777777" w:rsidR="00AD76C8" w:rsidRPr="006405F2" w:rsidRDefault="00AD76C8" w:rsidP="00E52C1D">
      <w:pPr>
        <w:spacing w:after="0" w:line="360" w:lineRule="auto"/>
        <w:rPr>
          <w:rFonts w:ascii="Arial" w:hAnsi="Arial" w:cs="Arial"/>
          <w:color w:val="000000" w:themeColor="text1"/>
          <w:sz w:val="20"/>
          <w:szCs w:val="20"/>
        </w:rPr>
      </w:pPr>
    </w:p>
    <w:p w14:paraId="50492187" w14:textId="77777777" w:rsidR="00AA771B" w:rsidRPr="006405F2" w:rsidRDefault="00AA771B" w:rsidP="00E52C1D">
      <w:pPr>
        <w:spacing w:after="0" w:line="360" w:lineRule="auto"/>
        <w:rPr>
          <w:rFonts w:ascii="Arial" w:hAnsi="Arial" w:cs="Arial"/>
          <w:color w:val="000000" w:themeColor="text1"/>
          <w:sz w:val="20"/>
          <w:szCs w:val="20"/>
        </w:rPr>
      </w:pPr>
      <w:r w:rsidRPr="006405F2">
        <w:rPr>
          <w:rFonts w:ascii="Arial" w:hAnsi="Arial" w:cs="Arial"/>
          <w:color w:val="000000" w:themeColor="text1"/>
          <w:sz w:val="20"/>
          <w:szCs w:val="20"/>
        </w:rPr>
        <w:t>Demonstrate an understanding of the responsibilities of the official veterinarian, regulatory bodies, assurance schemes and industry in protecting the welfare of food producing animals.</w:t>
      </w:r>
    </w:p>
    <w:p w14:paraId="4ABF874C" w14:textId="30B638CA" w:rsidR="00065EEB" w:rsidRPr="006405F2" w:rsidRDefault="00065EEB" w:rsidP="00E52C1D">
      <w:pPr>
        <w:spacing w:after="0" w:line="360" w:lineRule="auto"/>
        <w:rPr>
          <w:rFonts w:ascii="Arial" w:hAnsi="Arial" w:cs="Arial"/>
          <w:b/>
          <w:bCs/>
          <w:color w:val="000000" w:themeColor="text1"/>
          <w:sz w:val="20"/>
          <w:szCs w:val="20"/>
        </w:rPr>
      </w:pPr>
    </w:p>
    <w:p w14:paraId="59AD707A" w14:textId="77777777" w:rsidR="00065EEB" w:rsidRPr="006405F2" w:rsidRDefault="00065EEB" w:rsidP="00E52C1D">
      <w:pPr>
        <w:spacing w:after="0" w:line="360" w:lineRule="auto"/>
        <w:rPr>
          <w:rFonts w:ascii="Arial" w:hAnsi="Arial" w:cs="Arial"/>
          <w:b/>
          <w:bCs/>
          <w:color w:val="000000" w:themeColor="text1"/>
          <w:sz w:val="20"/>
          <w:szCs w:val="20"/>
        </w:rPr>
      </w:pPr>
    </w:p>
    <w:p w14:paraId="513B2B73" w14:textId="77777777" w:rsidR="00AD76C8" w:rsidRPr="006405F2" w:rsidRDefault="00AD76C8" w:rsidP="00E52C1D">
      <w:pPr>
        <w:spacing w:after="0" w:line="360" w:lineRule="auto"/>
        <w:rPr>
          <w:rFonts w:ascii="Arial" w:hAnsi="Arial" w:cs="Arial"/>
          <w:b/>
          <w:bCs/>
          <w:color w:val="000000" w:themeColor="text1"/>
          <w:sz w:val="20"/>
          <w:szCs w:val="20"/>
        </w:rPr>
      </w:pPr>
      <w:r w:rsidRPr="006405F2">
        <w:rPr>
          <w:rFonts w:ascii="Arial" w:hAnsi="Arial" w:cs="Arial"/>
          <w:b/>
          <w:bCs/>
          <w:color w:val="000000" w:themeColor="text1"/>
          <w:sz w:val="20"/>
          <w:szCs w:val="20"/>
        </w:rPr>
        <w:t>Learning Outcomes</w:t>
      </w:r>
    </w:p>
    <w:p w14:paraId="7DD472BC" w14:textId="6651103F" w:rsidR="00AD76C8" w:rsidRPr="006405F2" w:rsidRDefault="00AD76C8" w:rsidP="00E52C1D">
      <w:pPr>
        <w:spacing w:after="0" w:line="360" w:lineRule="auto"/>
        <w:rPr>
          <w:rFonts w:ascii="Arial" w:hAnsi="Arial" w:cs="Arial"/>
          <w:color w:val="000000" w:themeColor="text1"/>
          <w:sz w:val="20"/>
          <w:szCs w:val="20"/>
        </w:rPr>
      </w:pPr>
    </w:p>
    <w:p w14:paraId="6FD6D8FB" w14:textId="77777777" w:rsidR="0036164D" w:rsidRPr="006405F2" w:rsidRDefault="0036164D" w:rsidP="00E52C1D">
      <w:pPr>
        <w:pStyle w:val="RCVSBody"/>
        <w:numPr>
          <w:ilvl w:val="0"/>
          <w:numId w:val="3"/>
        </w:numPr>
        <w:spacing w:line="360" w:lineRule="auto"/>
        <w:ind w:left="284" w:hanging="284"/>
        <w:rPr>
          <w:rFonts w:ascii="Arial" w:hAnsi="Arial" w:cs="Arial"/>
          <w:b/>
          <w:color w:val="000000" w:themeColor="text1"/>
          <w:sz w:val="20"/>
        </w:rPr>
      </w:pPr>
      <w:r w:rsidRPr="006405F2">
        <w:rPr>
          <w:rFonts w:ascii="Arial" w:hAnsi="Arial" w:cs="Arial"/>
          <w:b/>
          <w:color w:val="000000" w:themeColor="text1"/>
          <w:sz w:val="20"/>
        </w:rPr>
        <w:t xml:space="preserve">Legislative Objective: Animal welfare at the level of production, </w:t>
      </w:r>
      <w:proofErr w:type="gramStart"/>
      <w:r w:rsidRPr="006405F2">
        <w:rPr>
          <w:rFonts w:ascii="Arial" w:hAnsi="Arial" w:cs="Arial"/>
          <w:b/>
          <w:color w:val="000000" w:themeColor="text1"/>
          <w:sz w:val="20"/>
        </w:rPr>
        <w:t>transport</w:t>
      </w:r>
      <w:proofErr w:type="gramEnd"/>
      <w:r w:rsidRPr="006405F2">
        <w:rPr>
          <w:rFonts w:ascii="Arial" w:hAnsi="Arial" w:cs="Arial"/>
          <w:b/>
          <w:color w:val="000000" w:themeColor="text1"/>
          <w:sz w:val="20"/>
        </w:rPr>
        <w:t xml:space="preserve"> and slaughter.</w:t>
      </w:r>
    </w:p>
    <w:p w14:paraId="204F05BA" w14:textId="77777777" w:rsidR="0036164D" w:rsidRPr="006405F2" w:rsidRDefault="0036164D" w:rsidP="00E52C1D">
      <w:pPr>
        <w:pStyle w:val="RCVSBody"/>
        <w:spacing w:line="360" w:lineRule="auto"/>
        <w:rPr>
          <w:rFonts w:ascii="Arial" w:hAnsi="Arial" w:cs="Arial"/>
          <w:b/>
          <w:color w:val="000000" w:themeColor="text1"/>
          <w:sz w:val="20"/>
        </w:rPr>
      </w:pPr>
    </w:p>
    <w:p w14:paraId="731CBB32" w14:textId="58EC171E" w:rsidR="0036164D" w:rsidRPr="006405F2" w:rsidRDefault="0036164D" w:rsidP="00E52C1D">
      <w:pPr>
        <w:pStyle w:val="RCVSBody"/>
        <w:spacing w:line="360" w:lineRule="auto"/>
        <w:rPr>
          <w:rFonts w:ascii="Arial" w:hAnsi="Arial" w:cs="Arial"/>
          <w:color w:val="000000" w:themeColor="text1"/>
          <w:sz w:val="20"/>
        </w:rPr>
      </w:pPr>
      <w:r w:rsidRPr="006405F2">
        <w:rPr>
          <w:rFonts w:ascii="Arial" w:hAnsi="Arial" w:cs="Arial"/>
          <w:b/>
          <w:color w:val="000000" w:themeColor="text1"/>
          <w:sz w:val="20"/>
        </w:rPr>
        <w:t>Legislation</w:t>
      </w:r>
    </w:p>
    <w:p w14:paraId="304657F0" w14:textId="77777777" w:rsidR="0036164D" w:rsidRPr="006405F2" w:rsidRDefault="0036164D" w:rsidP="00E52C1D">
      <w:pPr>
        <w:numPr>
          <w:ilvl w:val="1"/>
          <w:numId w:val="4"/>
        </w:numPr>
        <w:spacing w:after="0" w:line="360" w:lineRule="auto"/>
        <w:rPr>
          <w:rFonts w:ascii="Arial" w:hAnsi="Arial" w:cs="Arial"/>
          <w:color w:val="000000" w:themeColor="text1"/>
          <w:sz w:val="20"/>
          <w:szCs w:val="20"/>
        </w:rPr>
      </w:pPr>
      <w:r w:rsidRPr="006405F2">
        <w:rPr>
          <w:rFonts w:ascii="Arial" w:hAnsi="Arial" w:cs="Arial"/>
          <w:color w:val="000000" w:themeColor="text1"/>
          <w:sz w:val="20"/>
          <w:szCs w:val="20"/>
        </w:rPr>
        <w:t xml:space="preserve">Demonstrate a </w:t>
      </w:r>
      <w:r w:rsidRPr="006405F2">
        <w:rPr>
          <w:rFonts w:ascii="Arial" w:hAnsi="Arial" w:cs="Arial"/>
          <w:b/>
          <w:color w:val="000000" w:themeColor="text1"/>
          <w:sz w:val="20"/>
          <w:szCs w:val="20"/>
        </w:rPr>
        <w:t>basic</w:t>
      </w:r>
      <w:r w:rsidRPr="006405F2">
        <w:rPr>
          <w:rFonts w:ascii="Arial" w:hAnsi="Arial" w:cs="Arial"/>
          <w:color w:val="000000" w:themeColor="text1"/>
          <w:sz w:val="20"/>
          <w:szCs w:val="20"/>
        </w:rPr>
        <w:t xml:space="preserve"> understanding of:</w:t>
      </w:r>
    </w:p>
    <w:p w14:paraId="15A865E3"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 xml:space="preserve">the purpose of animal welfare regulations relating to farms, transport and livestock markets </w:t>
      </w:r>
      <w:proofErr w:type="gramStart"/>
      <w:r w:rsidRPr="006405F2">
        <w:rPr>
          <w:rFonts w:ascii="Arial" w:hAnsi="Arial" w:cs="Arial"/>
          <w:color w:val="000000" w:themeColor="text1"/>
          <w:sz w:val="20"/>
        </w:rPr>
        <w:t>e.g.</w:t>
      </w:r>
      <w:proofErr w:type="gramEnd"/>
      <w:r w:rsidRPr="006405F2">
        <w:rPr>
          <w:rFonts w:ascii="Arial" w:hAnsi="Arial" w:cs="Arial"/>
          <w:color w:val="000000" w:themeColor="text1"/>
          <w:sz w:val="20"/>
        </w:rPr>
        <w:t xml:space="preserve"> WOFAR</w:t>
      </w:r>
      <w:r w:rsidRPr="006405F2">
        <w:rPr>
          <w:rFonts w:ascii="Arial" w:hAnsi="Arial" w:cs="Arial"/>
          <w:color w:val="000000" w:themeColor="text1"/>
          <w:sz w:val="20"/>
        </w:rPr>
        <w:footnoteReference w:id="1"/>
      </w:r>
      <w:r w:rsidRPr="006405F2">
        <w:rPr>
          <w:rFonts w:ascii="Arial" w:hAnsi="Arial" w:cs="Arial"/>
          <w:color w:val="000000" w:themeColor="text1"/>
          <w:sz w:val="20"/>
        </w:rPr>
        <w:t>, WAMO</w:t>
      </w:r>
      <w:r w:rsidRPr="006405F2">
        <w:rPr>
          <w:rFonts w:ascii="Arial" w:hAnsi="Arial" w:cs="Arial"/>
          <w:color w:val="000000" w:themeColor="text1"/>
          <w:sz w:val="20"/>
        </w:rPr>
        <w:footnoteReference w:id="2"/>
      </w:r>
    </w:p>
    <w:p w14:paraId="785964D1"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legislative responsibilities arising from WOFAR, WAMO, PAA including the responsibilities of other enforcement agencies.</w:t>
      </w:r>
    </w:p>
    <w:p w14:paraId="187D9E57" w14:textId="77777777" w:rsidR="0036164D" w:rsidRPr="006405F2" w:rsidRDefault="0036164D" w:rsidP="00E52C1D">
      <w:pPr>
        <w:pStyle w:val="Header"/>
        <w:tabs>
          <w:tab w:val="left" w:pos="16"/>
          <w:tab w:val="left" w:pos="72"/>
        </w:tabs>
        <w:spacing w:line="360" w:lineRule="auto"/>
        <w:rPr>
          <w:rFonts w:ascii="Arial" w:hAnsi="Arial" w:cs="Arial"/>
          <w:color w:val="000000" w:themeColor="text1"/>
          <w:sz w:val="20"/>
          <w:szCs w:val="20"/>
        </w:rPr>
      </w:pPr>
    </w:p>
    <w:p w14:paraId="26301F30" w14:textId="77777777" w:rsidR="0036164D" w:rsidRPr="006405F2" w:rsidRDefault="0036164D" w:rsidP="00E52C1D">
      <w:pPr>
        <w:numPr>
          <w:ilvl w:val="1"/>
          <w:numId w:val="4"/>
        </w:numPr>
        <w:spacing w:after="0" w:line="360" w:lineRule="auto"/>
        <w:rPr>
          <w:rFonts w:ascii="Arial" w:hAnsi="Arial" w:cs="Arial"/>
          <w:color w:val="000000" w:themeColor="text1"/>
          <w:sz w:val="20"/>
          <w:szCs w:val="20"/>
        </w:rPr>
      </w:pPr>
      <w:r w:rsidRPr="006405F2">
        <w:rPr>
          <w:rFonts w:ascii="Arial" w:hAnsi="Arial" w:cs="Arial"/>
          <w:color w:val="000000" w:themeColor="text1"/>
          <w:sz w:val="20"/>
          <w:szCs w:val="20"/>
        </w:rPr>
        <w:t>Demonstrate a general understanding of:</w:t>
      </w:r>
    </w:p>
    <w:p w14:paraId="1F293507"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lastRenderedPageBreak/>
        <w:t>the principles and definitions of animal welfare</w:t>
      </w:r>
    </w:p>
    <w:p w14:paraId="0AE4170D" w14:textId="77777777" w:rsidR="0036164D" w:rsidRPr="006405F2" w:rsidRDefault="0036164D" w:rsidP="00E52C1D">
      <w:pPr>
        <w:pStyle w:val="Header"/>
        <w:tabs>
          <w:tab w:val="left" w:pos="16"/>
          <w:tab w:val="left" w:pos="72"/>
        </w:tabs>
        <w:spacing w:line="360" w:lineRule="auto"/>
        <w:ind w:left="1080"/>
        <w:rPr>
          <w:rFonts w:ascii="Arial" w:hAnsi="Arial" w:cs="Arial"/>
          <w:color w:val="000000" w:themeColor="text1"/>
          <w:sz w:val="20"/>
          <w:szCs w:val="20"/>
        </w:rPr>
      </w:pPr>
    </w:p>
    <w:p w14:paraId="6B550877" w14:textId="77777777" w:rsidR="0036164D" w:rsidRPr="006405F2" w:rsidRDefault="0036164D" w:rsidP="00E52C1D">
      <w:pPr>
        <w:numPr>
          <w:ilvl w:val="1"/>
          <w:numId w:val="4"/>
        </w:numPr>
        <w:spacing w:after="0" w:line="360" w:lineRule="auto"/>
        <w:rPr>
          <w:rFonts w:ascii="Arial" w:hAnsi="Arial" w:cs="Arial"/>
          <w:color w:val="000000" w:themeColor="text1"/>
          <w:sz w:val="20"/>
          <w:szCs w:val="20"/>
        </w:rPr>
      </w:pPr>
      <w:r w:rsidRPr="006405F2">
        <w:rPr>
          <w:rFonts w:ascii="Arial" w:hAnsi="Arial" w:cs="Arial"/>
          <w:color w:val="000000" w:themeColor="text1"/>
          <w:sz w:val="20"/>
          <w:szCs w:val="20"/>
        </w:rPr>
        <w:t>Demonstrate a detailed understanding of:</w:t>
      </w:r>
    </w:p>
    <w:p w14:paraId="3832A6A8"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the purpose of WATO</w:t>
      </w:r>
      <w:r w:rsidRPr="006405F2">
        <w:rPr>
          <w:rFonts w:ascii="Arial" w:hAnsi="Arial" w:cs="Arial"/>
          <w:color w:val="000000" w:themeColor="text1"/>
          <w:sz w:val="20"/>
        </w:rPr>
        <w:footnoteReference w:id="3"/>
      </w:r>
      <w:r w:rsidRPr="006405F2">
        <w:rPr>
          <w:rFonts w:ascii="Arial" w:hAnsi="Arial" w:cs="Arial"/>
          <w:color w:val="000000" w:themeColor="text1"/>
          <w:sz w:val="20"/>
        </w:rPr>
        <w:t>, EU 1/2005</w:t>
      </w:r>
      <w:r w:rsidRPr="006405F2">
        <w:rPr>
          <w:rFonts w:ascii="Arial" w:hAnsi="Arial" w:cs="Arial"/>
          <w:color w:val="000000" w:themeColor="text1"/>
          <w:sz w:val="20"/>
        </w:rPr>
        <w:footnoteReference w:id="4"/>
      </w:r>
      <w:r w:rsidRPr="006405F2">
        <w:rPr>
          <w:rFonts w:ascii="Arial" w:hAnsi="Arial" w:cs="Arial"/>
          <w:color w:val="000000" w:themeColor="text1"/>
          <w:sz w:val="20"/>
        </w:rPr>
        <w:t>, WATOK (Scotland) 2012</w:t>
      </w:r>
      <w:r w:rsidRPr="006405F2">
        <w:rPr>
          <w:rFonts w:ascii="Arial" w:hAnsi="Arial" w:cs="Arial"/>
          <w:color w:val="000000" w:themeColor="text1"/>
          <w:sz w:val="20"/>
        </w:rPr>
        <w:footnoteReference w:id="5"/>
      </w:r>
      <w:r w:rsidRPr="006405F2">
        <w:rPr>
          <w:rFonts w:ascii="Arial" w:hAnsi="Arial" w:cs="Arial"/>
          <w:color w:val="000000" w:themeColor="text1"/>
          <w:sz w:val="20"/>
        </w:rPr>
        <w:t>, WATOK (Wales) 2014</w:t>
      </w:r>
      <w:r w:rsidRPr="006405F2">
        <w:rPr>
          <w:rFonts w:ascii="Arial" w:hAnsi="Arial" w:cs="Arial"/>
          <w:color w:val="000000" w:themeColor="text1"/>
          <w:sz w:val="20"/>
        </w:rPr>
        <w:footnoteReference w:id="6"/>
      </w:r>
      <w:r w:rsidRPr="006405F2">
        <w:rPr>
          <w:rFonts w:ascii="Arial" w:hAnsi="Arial" w:cs="Arial"/>
          <w:color w:val="000000" w:themeColor="text1"/>
          <w:sz w:val="20"/>
        </w:rPr>
        <w:t>, EU 1099/2009</w:t>
      </w:r>
      <w:r w:rsidRPr="006405F2">
        <w:rPr>
          <w:rFonts w:ascii="Arial" w:hAnsi="Arial" w:cs="Arial"/>
          <w:color w:val="000000" w:themeColor="text1"/>
          <w:sz w:val="20"/>
        </w:rPr>
        <w:footnoteReference w:id="7"/>
      </w:r>
    </w:p>
    <w:p w14:paraId="0A304464"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legislative responsibilities arising from WATO.</w:t>
      </w:r>
    </w:p>
    <w:p w14:paraId="78BC5D22"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the enforcement processes for animal welfare non-compliances.</w:t>
      </w:r>
    </w:p>
    <w:p w14:paraId="5DA52F6C" w14:textId="77777777" w:rsidR="0036164D" w:rsidRPr="006405F2" w:rsidRDefault="0036164D" w:rsidP="00E52C1D">
      <w:pPr>
        <w:pStyle w:val="Header"/>
        <w:tabs>
          <w:tab w:val="left" w:pos="16"/>
          <w:tab w:val="left" w:pos="426"/>
        </w:tabs>
        <w:spacing w:line="360" w:lineRule="auto"/>
        <w:rPr>
          <w:rFonts w:ascii="Arial" w:hAnsi="Arial" w:cs="Arial"/>
          <w:color w:val="000000" w:themeColor="text1"/>
          <w:sz w:val="20"/>
          <w:szCs w:val="20"/>
        </w:rPr>
      </w:pPr>
    </w:p>
    <w:p w14:paraId="4F6815CC" w14:textId="665B5581" w:rsidR="0036164D" w:rsidRPr="006405F2" w:rsidRDefault="0036164D" w:rsidP="00E52C1D">
      <w:pPr>
        <w:pStyle w:val="RCVSBody"/>
        <w:spacing w:line="360" w:lineRule="auto"/>
        <w:rPr>
          <w:rFonts w:ascii="Arial" w:hAnsi="Arial" w:cs="Arial"/>
          <w:color w:val="000000" w:themeColor="text1"/>
          <w:sz w:val="20"/>
        </w:rPr>
      </w:pPr>
      <w:r w:rsidRPr="006405F2">
        <w:rPr>
          <w:rFonts w:ascii="Arial" w:hAnsi="Arial" w:cs="Arial"/>
          <w:b/>
          <w:color w:val="000000" w:themeColor="text1"/>
          <w:sz w:val="20"/>
        </w:rPr>
        <w:t>Welfare application</w:t>
      </w:r>
    </w:p>
    <w:p w14:paraId="67191A22" w14:textId="77777777" w:rsidR="0036164D" w:rsidRPr="006405F2" w:rsidRDefault="0036164D" w:rsidP="00E52C1D">
      <w:pPr>
        <w:numPr>
          <w:ilvl w:val="1"/>
          <w:numId w:val="4"/>
        </w:numPr>
        <w:spacing w:after="0" w:line="360" w:lineRule="auto"/>
        <w:rPr>
          <w:rFonts w:ascii="Arial" w:hAnsi="Arial" w:cs="Arial"/>
          <w:color w:val="000000" w:themeColor="text1"/>
          <w:sz w:val="20"/>
          <w:szCs w:val="20"/>
        </w:rPr>
      </w:pPr>
      <w:r w:rsidRPr="006405F2">
        <w:rPr>
          <w:rFonts w:ascii="Arial" w:hAnsi="Arial" w:cs="Arial"/>
          <w:color w:val="000000" w:themeColor="text1"/>
          <w:sz w:val="20"/>
          <w:szCs w:val="20"/>
        </w:rPr>
        <w:t xml:space="preserve">Demonstrate a general understanding of how to identify signs of welfare compromise on farms, during transport, at markets, during slaughter and during ante- and </w:t>
      </w:r>
      <w:proofErr w:type="gramStart"/>
      <w:r w:rsidRPr="006405F2">
        <w:rPr>
          <w:rFonts w:ascii="Arial" w:hAnsi="Arial" w:cs="Arial"/>
          <w:color w:val="000000" w:themeColor="text1"/>
          <w:sz w:val="20"/>
          <w:szCs w:val="20"/>
        </w:rPr>
        <w:t>post mortem</w:t>
      </w:r>
      <w:proofErr w:type="gramEnd"/>
      <w:r w:rsidRPr="006405F2">
        <w:rPr>
          <w:rFonts w:ascii="Arial" w:hAnsi="Arial" w:cs="Arial"/>
          <w:color w:val="000000" w:themeColor="text1"/>
          <w:sz w:val="20"/>
          <w:szCs w:val="20"/>
        </w:rPr>
        <w:t xml:space="preserve"> inspection.</w:t>
      </w:r>
    </w:p>
    <w:p w14:paraId="490C8130" w14:textId="77777777" w:rsidR="0036164D" w:rsidRPr="006405F2" w:rsidRDefault="0036164D" w:rsidP="00E52C1D">
      <w:pPr>
        <w:pStyle w:val="Header"/>
        <w:spacing w:line="360" w:lineRule="auto"/>
        <w:ind w:left="426"/>
        <w:rPr>
          <w:rFonts w:ascii="Arial" w:hAnsi="Arial" w:cs="Arial"/>
          <w:color w:val="000000" w:themeColor="text1"/>
          <w:sz w:val="20"/>
          <w:szCs w:val="20"/>
        </w:rPr>
      </w:pPr>
    </w:p>
    <w:p w14:paraId="7FC4EB6C" w14:textId="77777777" w:rsidR="0036164D" w:rsidRPr="006405F2" w:rsidRDefault="0036164D" w:rsidP="00E52C1D">
      <w:pPr>
        <w:numPr>
          <w:ilvl w:val="1"/>
          <w:numId w:val="4"/>
        </w:numPr>
        <w:spacing w:after="0" w:line="360" w:lineRule="auto"/>
        <w:rPr>
          <w:rFonts w:ascii="Arial" w:hAnsi="Arial" w:cs="Arial"/>
          <w:color w:val="000000" w:themeColor="text1"/>
          <w:sz w:val="20"/>
          <w:szCs w:val="20"/>
        </w:rPr>
      </w:pPr>
      <w:r w:rsidRPr="006405F2">
        <w:rPr>
          <w:rFonts w:ascii="Arial" w:hAnsi="Arial" w:cs="Arial"/>
          <w:color w:val="000000" w:themeColor="text1"/>
          <w:sz w:val="20"/>
          <w:szCs w:val="20"/>
        </w:rPr>
        <w:t>Demonstrate a detailed understanding of:</w:t>
      </w:r>
    </w:p>
    <w:p w14:paraId="40887809"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the assessment of welfare on farm, during transport, on arrival at markets and abattoirs and at ante-mortem inspection.</w:t>
      </w:r>
    </w:p>
    <w:p w14:paraId="4E71B707"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the signs of effective/ineffective stunning and methods of assessing correct stunning and/or killing in livestock species (including poultry).</w:t>
      </w:r>
    </w:p>
    <w:p w14:paraId="7B876580"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 xml:space="preserve">the different methods of stunning and killing (mechanical, </w:t>
      </w:r>
      <w:proofErr w:type="gramStart"/>
      <w:r w:rsidRPr="006405F2">
        <w:rPr>
          <w:rFonts w:ascii="Arial" w:hAnsi="Arial" w:cs="Arial"/>
          <w:color w:val="000000" w:themeColor="text1"/>
          <w:sz w:val="20"/>
        </w:rPr>
        <w:t>electrical</w:t>
      </w:r>
      <w:proofErr w:type="gramEnd"/>
      <w:r w:rsidRPr="006405F2">
        <w:rPr>
          <w:rFonts w:ascii="Arial" w:hAnsi="Arial" w:cs="Arial"/>
          <w:color w:val="000000" w:themeColor="text1"/>
          <w:sz w:val="20"/>
        </w:rPr>
        <w:t xml:space="preserve"> and gaseous) for livestock and poultry, including the physiology of stunning, and factors affecting the effectiveness of stunning.</w:t>
      </w:r>
    </w:p>
    <w:p w14:paraId="144DD72A"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 xml:space="preserve"> slaughter without stunning.</w:t>
      </w:r>
    </w:p>
    <w:p w14:paraId="09441CE2" w14:textId="77777777" w:rsidR="0036164D" w:rsidRPr="006405F2" w:rsidRDefault="0036164D" w:rsidP="00E52C1D">
      <w:pPr>
        <w:pStyle w:val="Header"/>
        <w:spacing w:line="360" w:lineRule="auto"/>
        <w:rPr>
          <w:rFonts w:ascii="Arial" w:hAnsi="Arial" w:cs="Arial"/>
          <w:color w:val="000000" w:themeColor="text1"/>
          <w:sz w:val="20"/>
          <w:szCs w:val="20"/>
        </w:rPr>
      </w:pPr>
    </w:p>
    <w:p w14:paraId="4915C4CA" w14:textId="6E7FD108" w:rsidR="0036164D" w:rsidRPr="006405F2" w:rsidRDefault="00E54C3B" w:rsidP="00E52C1D">
      <w:pPr>
        <w:pStyle w:val="RCVSBody"/>
        <w:spacing w:line="360" w:lineRule="auto"/>
        <w:rPr>
          <w:rFonts w:ascii="Arial" w:hAnsi="Arial" w:cs="Arial"/>
          <w:color w:val="000000" w:themeColor="text1"/>
          <w:sz w:val="20"/>
        </w:rPr>
      </w:pPr>
      <w:r w:rsidRPr="006405F2">
        <w:rPr>
          <w:rFonts w:ascii="Arial" w:hAnsi="Arial" w:cs="Arial"/>
          <w:b/>
          <w:color w:val="000000" w:themeColor="text1"/>
          <w:sz w:val="20"/>
        </w:rPr>
        <w:tab/>
      </w:r>
      <w:r w:rsidR="0036164D" w:rsidRPr="006405F2">
        <w:rPr>
          <w:rFonts w:ascii="Arial" w:hAnsi="Arial" w:cs="Arial"/>
          <w:b/>
          <w:color w:val="000000" w:themeColor="text1"/>
          <w:sz w:val="20"/>
        </w:rPr>
        <w:t>Other welfare matters</w:t>
      </w:r>
    </w:p>
    <w:p w14:paraId="632B4AAE" w14:textId="77777777" w:rsidR="0036164D" w:rsidRPr="006405F2" w:rsidRDefault="0036164D" w:rsidP="00E52C1D">
      <w:pPr>
        <w:numPr>
          <w:ilvl w:val="1"/>
          <w:numId w:val="4"/>
        </w:numPr>
        <w:spacing w:after="0" w:line="360" w:lineRule="auto"/>
        <w:rPr>
          <w:rFonts w:ascii="Arial" w:hAnsi="Arial" w:cs="Arial"/>
          <w:color w:val="000000" w:themeColor="text1"/>
          <w:sz w:val="20"/>
          <w:szCs w:val="20"/>
        </w:rPr>
      </w:pPr>
      <w:r w:rsidRPr="006405F2">
        <w:rPr>
          <w:rFonts w:ascii="Arial" w:hAnsi="Arial" w:cs="Arial"/>
          <w:color w:val="000000" w:themeColor="text1"/>
          <w:sz w:val="20"/>
          <w:szCs w:val="20"/>
        </w:rPr>
        <w:t>Demonstrate a general understanding of:</w:t>
      </w:r>
    </w:p>
    <w:p w14:paraId="0EDCD220"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the role of the OV, in relation to animal welfare</w:t>
      </w:r>
    </w:p>
    <w:p w14:paraId="4875D218"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 xml:space="preserve"> the role of the FSA, APHA and OV’s in issuing certificates of competency, assessment, </w:t>
      </w:r>
      <w:proofErr w:type="gramStart"/>
      <w:r w:rsidRPr="006405F2">
        <w:rPr>
          <w:rFonts w:ascii="Arial" w:hAnsi="Arial" w:cs="Arial"/>
          <w:color w:val="000000" w:themeColor="text1"/>
          <w:sz w:val="20"/>
        </w:rPr>
        <w:t>suspension</w:t>
      </w:r>
      <w:proofErr w:type="gramEnd"/>
      <w:r w:rsidRPr="006405F2">
        <w:rPr>
          <w:rFonts w:ascii="Arial" w:hAnsi="Arial" w:cs="Arial"/>
          <w:color w:val="000000" w:themeColor="text1"/>
          <w:sz w:val="20"/>
        </w:rPr>
        <w:t xml:space="preserve"> and revocation process.</w:t>
      </w:r>
    </w:p>
    <w:p w14:paraId="6B09AC99"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the precautionary principle and consumer concerns of animal welfare in the food chain</w:t>
      </w:r>
    </w:p>
    <w:p w14:paraId="6D2F472A"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the relevance of on farm production to the fitness of food for human consumption produced from animals</w:t>
      </w:r>
    </w:p>
    <w:p w14:paraId="49CA1184"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understanding of the interrelations between farm level circumstances and the health of animals.</w:t>
      </w:r>
    </w:p>
    <w:p w14:paraId="19FAE09D" w14:textId="77777777" w:rsidR="0036164D" w:rsidRPr="006405F2" w:rsidRDefault="0036164D" w:rsidP="00E52C1D">
      <w:pPr>
        <w:pStyle w:val="Header"/>
        <w:spacing w:line="360" w:lineRule="auto"/>
        <w:rPr>
          <w:rFonts w:ascii="Arial" w:hAnsi="Arial" w:cs="Arial"/>
          <w:color w:val="000000" w:themeColor="text1"/>
          <w:sz w:val="20"/>
          <w:szCs w:val="20"/>
        </w:rPr>
      </w:pPr>
    </w:p>
    <w:p w14:paraId="4887986A" w14:textId="77777777" w:rsidR="0036164D" w:rsidRPr="006405F2" w:rsidRDefault="0036164D" w:rsidP="00E52C1D">
      <w:pPr>
        <w:pStyle w:val="RCVSBody"/>
        <w:numPr>
          <w:ilvl w:val="0"/>
          <w:numId w:val="3"/>
        </w:numPr>
        <w:spacing w:line="360" w:lineRule="auto"/>
        <w:ind w:left="284" w:hanging="284"/>
        <w:rPr>
          <w:rFonts w:ascii="Arial" w:hAnsi="Arial" w:cs="Arial"/>
          <w:b/>
          <w:color w:val="000000" w:themeColor="text1"/>
          <w:sz w:val="20"/>
        </w:rPr>
      </w:pPr>
      <w:r w:rsidRPr="006405F2">
        <w:rPr>
          <w:rFonts w:ascii="Arial" w:hAnsi="Arial" w:cs="Arial"/>
          <w:b/>
          <w:color w:val="000000" w:themeColor="text1"/>
          <w:sz w:val="20"/>
        </w:rPr>
        <w:t>Legislative Objective: Good Farming Practices</w:t>
      </w:r>
    </w:p>
    <w:p w14:paraId="14EEE8E3" w14:textId="77777777" w:rsidR="0036164D" w:rsidRPr="006405F2" w:rsidRDefault="0036164D" w:rsidP="00E52C1D">
      <w:pPr>
        <w:pStyle w:val="Header"/>
        <w:spacing w:line="360" w:lineRule="auto"/>
        <w:rPr>
          <w:rFonts w:ascii="Arial" w:hAnsi="Arial" w:cs="Arial"/>
          <w:color w:val="000000" w:themeColor="text1"/>
          <w:sz w:val="20"/>
          <w:szCs w:val="20"/>
        </w:rPr>
      </w:pPr>
    </w:p>
    <w:p w14:paraId="2C68FFCB" w14:textId="77777777" w:rsidR="0036164D" w:rsidRPr="006405F2" w:rsidRDefault="0036164D" w:rsidP="00E52C1D">
      <w:pPr>
        <w:numPr>
          <w:ilvl w:val="1"/>
          <w:numId w:val="5"/>
        </w:numPr>
        <w:spacing w:after="0" w:line="360" w:lineRule="auto"/>
        <w:rPr>
          <w:rFonts w:ascii="Arial" w:hAnsi="Arial" w:cs="Arial"/>
          <w:color w:val="000000" w:themeColor="text1"/>
          <w:sz w:val="20"/>
          <w:szCs w:val="20"/>
        </w:rPr>
      </w:pPr>
      <w:r w:rsidRPr="006405F2">
        <w:rPr>
          <w:rFonts w:ascii="Arial" w:hAnsi="Arial" w:cs="Arial"/>
          <w:color w:val="000000" w:themeColor="text1"/>
          <w:sz w:val="20"/>
          <w:szCs w:val="20"/>
        </w:rPr>
        <w:lastRenderedPageBreak/>
        <w:t>Demonstrate a basic understanding of:</w:t>
      </w:r>
    </w:p>
    <w:p w14:paraId="5329D27B"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the relevance of Good Farming Practice (GFP).</w:t>
      </w:r>
    </w:p>
    <w:p w14:paraId="067C9A52"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different Farm Assurance Schemes in the UK and how they work.</w:t>
      </w:r>
    </w:p>
    <w:p w14:paraId="7538E2E6"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The statutory management requirements of the revised CAP</w:t>
      </w:r>
    </w:p>
    <w:p w14:paraId="22658AB7" w14:textId="77777777" w:rsidR="0036164D" w:rsidRPr="006405F2" w:rsidRDefault="0036164D" w:rsidP="00E52C1D">
      <w:pPr>
        <w:pStyle w:val="RCVSBullet1"/>
        <w:tabs>
          <w:tab w:val="clear" w:pos="284"/>
          <w:tab w:val="clear" w:pos="567"/>
          <w:tab w:val="left" w:pos="720"/>
        </w:tabs>
        <w:spacing w:after="0" w:line="360" w:lineRule="auto"/>
        <w:ind w:left="284" w:hanging="284"/>
        <w:rPr>
          <w:rFonts w:ascii="Arial" w:hAnsi="Arial" w:cs="Arial"/>
          <w:color w:val="000000" w:themeColor="text1"/>
          <w:sz w:val="20"/>
        </w:rPr>
      </w:pPr>
    </w:p>
    <w:p w14:paraId="2C875D62" w14:textId="77777777" w:rsidR="0036164D" w:rsidRPr="006405F2" w:rsidRDefault="0036164D" w:rsidP="00E52C1D">
      <w:pPr>
        <w:numPr>
          <w:ilvl w:val="1"/>
          <w:numId w:val="5"/>
        </w:numPr>
        <w:spacing w:after="0" w:line="360" w:lineRule="auto"/>
        <w:rPr>
          <w:rFonts w:ascii="Arial" w:hAnsi="Arial" w:cs="Arial"/>
          <w:color w:val="000000" w:themeColor="text1"/>
          <w:sz w:val="20"/>
          <w:szCs w:val="20"/>
        </w:rPr>
      </w:pPr>
      <w:r w:rsidRPr="006405F2">
        <w:rPr>
          <w:rFonts w:ascii="Arial" w:hAnsi="Arial" w:cs="Arial"/>
          <w:color w:val="000000" w:themeColor="text1"/>
          <w:sz w:val="20"/>
          <w:szCs w:val="20"/>
        </w:rPr>
        <w:t xml:space="preserve">Demonstrate a general understanding of: </w:t>
      </w:r>
    </w:p>
    <w:p w14:paraId="60163657"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the role of Food Business Operators (FBOs) and their responsibilities prior to harvesting.</w:t>
      </w:r>
    </w:p>
    <w:p w14:paraId="4F2F9B38"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the purpose of the clean livestock policy.</w:t>
      </w:r>
    </w:p>
    <w:p w14:paraId="70629798"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 xml:space="preserve">the legal requirements relating to good farming practices, such as the proper use of veterinary drugs and feed additives, including withdrawal periods, records on treatment given to animals, diseases diagnosed on farms, farming restrictions </w:t>
      </w:r>
      <w:proofErr w:type="gramStart"/>
      <w:r w:rsidRPr="006405F2">
        <w:rPr>
          <w:rFonts w:ascii="Arial" w:hAnsi="Arial" w:cs="Arial"/>
          <w:color w:val="000000" w:themeColor="text1"/>
          <w:sz w:val="20"/>
        </w:rPr>
        <w:t>etc;</w:t>
      </w:r>
      <w:proofErr w:type="gramEnd"/>
      <w:r w:rsidRPr="006405F2">
        <w:rPr>
          <w:rFonts w:ascii="Arial" w:hAnsi="Arial" w:cs="Arial"/>
          <w:color w:val="000000" w:themeColor="text1"/>
          <w:sz w:val="20"/>
        </w:rPr>
        <w:t xml:space="preserve"> </w:t>
      </w:r>
    </w:p>
    <w:p w14:paraId="115EA3C6" w14:textId="77777777"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the requirements in Annex 1 of (EC) No 852/2004 – General hygiene requirements for primary production and associated operations.</w:t>
      </w:r>
    </w:p>
    <w:p w14:paraId="76BD98A6" w14:textId="68A5FC74" w:rsidR="0036164D" w:rsidRPr="006405F2" w:rsidRDefault="0036164D" w:rsidP="00E52C1D">
      <w:pPr>
        <w:pStyle w:val="RCVSBullet1"/>
        <w:numPr>
          <w:ilvl w:val="0"/>
          <w:numId w:val="7"/>
        </w:numPr>
        <w:tabs>
          <w:tab w:val="clear" w:pos="284"/>
          <w:tab w:val="clear" w:pos="567"/>
          <w:tab w:val="left" w:pos="720"/>
        </w:tabs>
        <w:spacing w:after="0" w:line="360" w:lineRule="auto"/>
        <w:rPr>
          <w:rFonts w:ascii="Arial" w:hAnsi="Arial" w:cs="Arial"/>
          <w:color w:val="000000" w:themeColor="text1"/>
          <w:sz w:val="20"/>
        </w:rPr>
      </w:pPr>
      <w:r w:rsidRPr="006405F2">
        <w:rPr>
          <w:rFonts w:ascii="Arial" w:hAnsi="Arial" w:cs="Arial"/>
          <w:color w:val="000000" w:themeColor="text1"/>
          <w:sz w:val="20"/>
        </w:rPr>
        <w:t>the purpose and value of food chain information, including inspection results and the effective movement of information in both directions.</w:t>
      </w:r>
    </w:p>
    <w:p w14:paraId="42D2CB47" w14:textId="2BCD342B" w:rsidR="001608D3" w:rsidRPr="006405F2" w:rsidRDefault="001608D3" w:rsidP="001608D3">
      <w:pPr>
        <w:pStyle w:val="RCVSBullet1"/>
        <w:tabs>
          <w:tab w:val="clear" w:pos="284"/>
          <w:tab w:val="clear" w:pos="567"/>
          <w:tab w:val="left" w:pos="720"/>
        </w:tabs>
        <w:spacing w:after="0" w:line="360" w:lineRule="auto"/>
        <w:rPr>
          <w:rFonts w:ascii="Arial" w:hAnsi="Arial" w:cs="Arial"/>
          <w:color w:val="000000" w:themeColor="text1"/>
          <w:sz w:val="20"/>
        </w:rPr>
      </w:pPr>
    </w:p>
    <w:p w14:paraId="7A571322" w14:textId="7986046C" w:rsidR="001608D3" w:rsidRPr="006405F2" w:rsidRDefault="001608D3" w:rsidP="001608D3">
      <w:pPr>
        <w:pStyle w:val="RCVSBullet1"/>
        <w:tabs>
          <w:tab w:val="clear" w:pos="284"/>
          <w:tab w:val="clear" w:pos="567"/>
          <w:tab w:val="left" w:pos="720"/>
        </w:tabs>
        <w:spacing w:after="0" w:line="360" w:lineRule="auto"/>
        <w:rPr>
          <w:rFonts w:ascii="Arial" w:hAnsi="Arial" w:cs="Arial"/>
          <w:color w:val="000000" w:themeColor="text1"/>
          <w:sz w:val="20"/>
        </w:rPr>
      </w:pPr>
    </w:p>
    <w:p w14:paraId="1E88EC56" w14:textId="38831CD0" w:rsidR="001608D3" w:rsidRPr="006405F2" w:rsidRDefault="001608D3" w:rsidP="00065EEB">
      <w:pPr>
        <w:spacing w:after="0" w:line="360" w:lineRule="auto"/>
        <w:rPr>
          <w:rFonts w:ascii="Arial" w:hAnsi="Arial" w:cs="Arial"/>
          <w:b/>
          <w:bCs/>
          <w:sz w:val="20"/>
          <w:szCs w:val="20"/>
        </w:rPr>
      </w:pPr>
      <w:r w:rsidRPr="006405F2">
        <w:rPr>
          <w:rFonts w:ascii="Arial" w:hAnsi="Arial" w:cs="Arial"/>
          <w:b/>
          <w:bCs/>
          <w:sz w:val="20"/>
          <w:szCs w:val="20"/>
        </w:rPr>
        <w:t>Assessment Strategy</w:t>
      </w:r>
    </w:p>
    <w:p w14:paraId="18F5299D" w14:textId="77777777" w:rsidR="00E54C3B" w:rsidRPr="006405F2" w:rsidRDefault="00E54C3B" w:rsidP="00065EEB">
      <w:pPr>
        <w:spacing w:after="0" w:line="360" w:lineRule="auto"/>
        <w:rPr>
          <w:rFonts w:ascii="Arial" w:hAnsi="Arial" w:cs="Arial"/>
          <w:b/>
          <w:bCs/>
          <w:sz w:val="20"/>
          <w:szCs w:val="20"/>
        </w:rPr>
      </w:pPr>
    </w:p>
    <w:p w14:paraId="14D544FD" w14:textId="77777777" w:rsidR="00065EEB" w:rsidRPr="006405F2" w:rsidRDefault="00065EEB" w:rsidP="00065EEB">
      <w:pPr>
        <w:spacing w:after="0" w:line="360" w:lineRule="auto"/>
        <w:rPr>
          <w:rFonts w:ascii="Arial" w:hAnsi="Arial" w:cs="Arial"/>
          <w:sz w:val="20"/>
          <w:szCs w:val="20"/>
        </w:rPr>
      </w:pPr>
      <w:r w:rsidRPr="006405F2">
        <w:rPr>
          <w:rFonts w:ascii="Arial" w:hAnsi="Arial" w:cs="Arial"/>
          <w:sz w:val="20"/>
          <w:szCs w:val="20"/>
        </w:rPr>
        <w:t>The assessment strategy is suggested and can be adapted by the provider to achieve the learning outcomes listed above.</w:t>
      </w:r>
    </w:p>
    <w:p w14:paraId="54C4592D" w14:textId="77777777" w:rsidR="00065EEB" w:rsidRPr="006405F2" w:rsidRDefault="00065EEB" w:rsidP="00065EEB">
      <w:pPr>
        <w:spacing w:after="0" w:line="360" w:lineRule="auto"/>
        <w:rPr>
          <w:rFonts w:ascii="Arial" w:hAnsi="Arial" w:cs="Arial"/>
          <w:sz w:val="20"/>
          <w:szCs w:val="20"/>
        </w:rPr>
      </w:pPr>
    </w:p>
    <w:p w14:paraId="48868F3C" w14:textId="7B36B491" w:rsidR="00065EEB" w:rsidRPr="006405F2" w:rsidRDefault="00065EEB" w:rsidP="00065EEB">
      <w:pPr>
        <w:spacing w:after="0" w:line="360" w:lineRule="auto"/>
        <w:rPr>
          <w:rFonts w:ascii="Arial" w:hAnsi="Arial" w:cs="Arial"/>
          <w:sz w:val="20"/>
          <w:szCs w:val="20"/>
        </w:rPr>
      </w:pPr>
      <w:r w:rsidRPr="006405F2">
        <w:rPr>
          <w:rFonts w:ascii="Arial" w:hAnsi="Arial" w:cs="Arial"/>
          <w:sz w:val="20"/>
          <w:szCs w:val="20"/>
        </w:rPr>
        <w:t xml:space="preserve"> Assessment strategies may include:</w:t>
      </w:r>
    </w:p>
    <w:p w14:paraId="6D31BF9E" w14:textId="77777777" w:rsidR="00065EEB" w:rsidRPr="006405F2" w:rsidRDefault="00065EEB" w:rsidP="00065EEB">
      <w:pPr>
        <w:pStyle w:val="ListParagraph"/>
        <w:numPr>
          <w:ilvl w:val="0"/>
          <w:numId w:val="9"/>
        </w:numPr>
        <w:spacing w:after="0" w:line="360" w:lineRule="auto"/>
        <w:rPr>
          <w:rFonts w:ascii="Arial" w:hAnsi="Arial" w:cs="Arial"/>
          <w:sz w:val="20"/>
          <w:szCs w:val="20"/>
        </w:rPr>
      </w:pPr>
      <w:r w:rsidRPr="006405F2">
        <w:rPr>
          <w:rFonts w:ascii="Arial" w:hAnsi="Arial" w:cs="Arial"/>
          <w:sz w:val="20"/>
          <w:szCs w:val="20"/>
        </w:rPr>
        <w:t>Case logs</w:t>
      </w:r>
    </w:p>
    <w:p w14:paraId="289113E6" w14:textId="77777777" w:rsidR="00065EEB" w:rsidRPr="006405F2" w:rsidRDefault="00065EEB" w:rsidP="00065EEB">
      <w:pPr>
        <w:pStyle w:val="ListParagraph"/>
        <w:numPr>
          <w:ilvl w:val="0"/>
          <w:numId w:val="9"/>
        </w:numPr>
        <w:spacing w:after="0" w:line="360" w:lineRule="auto"/>
        <w:rPr>
          <w:rFonts w:ascii="Arial" w:hAnsi="Arial" w:cs="Arial"/>
          <w:sz w:val="20"/>
          <w:szCs w:val="20"/>
        </w:rPr>
      </w:pPr>
      <w:r w:rsidRPr="006405F2">
        <w:rPr>
          <w:rFonts w:ascii="Arial" w:hAnsi="Arial" w:cs="Arial"/>
          <w:sz w:val="20"/>
          <w:szCs w:val="20"/>
        </w:rPr>
        <w:t>Skills and audit reflections</w:t>
      </w:r>
    </w:p>
    <w:p w14:paraId="60B53000" w14:textId="77777777" w:rsidR="00065EEB" w:rsidRPr="006405F2" w:rsidRDefault="00065EEB" w:rsidP="00065EEB">
      <w:pPr>
        <w:pStyle w:val="ListParagraph"/>
        <w:numPr>
          <w:ilvl w:val="0"/>
          <w:numId w:val="9"/>
        </w:numPr>
        <w:spacing w:after="0" w:line="360" w:lineRule="auto"/>
        <w:rPr>
          <w:rFonts w:ascii="Arial" w:hAnsi="Arial" w:cs="Arial"/>
          <w:sz w:val="20"/>
          <w:szCs w:val="20"/>
        </w:rPr>
      </w:pPr>
      <w:r w:rsidRPr="006405F2">
        <w:rPr>
          <w:rFonts w:ascii="Arial" w:hAnsi="Arial" w:cs="Arial"/>
          <w:sz w:val="20"/>
          <w:szCs w:val="20"/>
        </w:rPr>
        <w:t>Case reports</w:t>
      </w:r>
    </w:p>
    <w:p w14:paraId="21FF5ADA" w14:textId="77777777" w:rsidR="00065EEB" w:rsidRPr="006405F2" w:rsidRDefault="00065EEB" w:rsidP="00065EEB">
      <w:pPr>
        <w:pStyle w:val="ListParagraph"/>
        <w:numPr>
          <w:ilvl w:val="0"/>
          <w:numId w:val="9"/>
        </w:numPr>
        <w:spacing w:after="0" w:line="360" w:lineRule="auto"/>
        <w:rPr>
          <w:rFonts w:ascii="Arial" w:hAnsi="Arial" w:cs="Arial"/>
          <w:sz w:val="20"/>
          <w:szCs w:val="20"/>
        </w:rPr>
      </w:pPr>
      <w:r w:rsidRPr="006405F2">
        <w:rPr>
          <w:rFonts w:ascii="Arial" w:hAnsi="Arial" w:cs="Arial"/>
          <w:sz w:val="20"/>
          <w:szCs w:val="20"/>
        </w:rPr>
        <w:t>Journal reviews</w:t>
      </w:r>
    </w:p>
    <w:p w14:paraId="5C4D116B" w14:textId="77777777" w:rsidR="00065EEB" w:rsidRPr="006405F2" w:rsidRDefault="00065EEB" w:rsidP="00065EEB">
      <w:pPr>
        <w:pStyle w:val="ListParagraph"/>
        <w:numPr>
          <w:ilvl w:val="0"/>
          <w:numId w:val="9"/>
        </w:numPr>
        <w:spacing w:after="0" w:line="360" w:lineRule="auto"/>
        <w:rPr>
          <w:rFonts w:ascii="Arial" w:hAnsi="Arial" w:cs="Arial"/>
          <w:sz w:val="20"/>
          <w:szCs w:val="20"/>
        </w:rPr>
      </w:pPr>
      <w:r w:rsidRPr="006405F2">
        <w:rPr>
          <w:rFonts w:ascii="Arial" w:hAnsi="Arial" w:cs="Arial"/>
          <w:sz w:val="20"/>
          <w:szCs w:val="20"/>
        </w:rPr>
        <w:t>Essays</w:t>
      </w:r>
    </w:p>
    <w:p w14:paraId="13A226DE" w14:textId="77777777" w:rsidR="00065EEB" w:rsidRPr="006405F2" w:rsidRDefault="00065EEB" w:rsidP="00065EEB">
      <w:pPr>
        <w:pStyle w:val="ListParagraph"/>
        <w:numPr>
          <w:ilvl w:val="0"/>
          <w:numId w:val="9"/>
        </w:numPr>
        <w:spacing w:after="0" w:line="360" w:lineRule="auto"/>
        <w:rPr>
          <w:rFonts w:ascii="Arial" w:hAnsi="Arial" w:cs="Arial"/>
          <w:sz w:val="20"/>
          <w:szCs w:val="20"/>
        </w:rPr>
      </w:pPr>
      <w:r w:rsidRPr="006405F2">
        <w:rPr>
          <w:rFonts w:ascii="Arial" w:hAnsi="Arial" w:cs="Arial"/>
          <w:sz w:val="20"/>
          <w:szCs w:val="20"/>
        </w:rPr>
        <w:t>Exams</w:t>
      </w:r>
    </w:p>
    <w:p w14:paraId="477410FD" w14:textId="7CBA252B" w:rsidR="00065EEB" w:rsidRPr="006405F2" w:rsidRDefault="00065EEB" w:rsidP="00065EEB">
      <w:pPr>
        <w:spacing w:after="0" w:line="360" w:lineRule="auto"/>
        <w:rPr>
          <w:rFonts w:ascii="Arial" w:hAnsi="Arial" w:cs="Arial"/>
          <w:sz w:val="20"/>
          <w:szCs w:val="20"/>
        </w:rPr>
      </w:pPr>
      <w:r w:rsidRPr="006405F2">
        <w:rPr>
          <w:rFonts w:ascii="Arial" w:hAnsi="Arial" w:cs="Arial"/>
          <w:sz w:val="20"/>
          <w:szCs w:val="20"/>
        </w:rPr>
        <w:t xml:space="preserve"> </w:t>
      </w:r>
    </w:p>
    <w:p w14:paraId="4ABC88CF" w14:textId="77777777" w:rsidR="00065EEB" w:rsidRPr="006405F2" w:rsidRDefault="00065EEB" w:rsidP="00065EEB">
      <w:pPr>
        <w:spacing w:after="0" w:line="360" w:lineRule="auto"/>
        <w:rPr>
          <w:rFonts w:ascii="Arial" w:hAnsi="Arial" w:cs="Arial"/>
          <w:sz w:val="20"/>
          <w:szCs w:val="20"/>
        </w:rPr>
      </w:pPr>
      <w:r w:rsidRPr="006405F2">
        <w:rPr>
          <w:rFonts w:ascii="Arial" w:hAnsi="Arial" w:cs="Arial"/>
          <w:sz w:val="20"/>
          <w:szCs w:val="20"/>
        </w:rPr>
        <w:t>The assessment strategy should be stipulated on the accreditation application.</w:t>
      </w:r>
    </w:p>
    <w:p w14:paraId="256493DB" w14:textId="77777777" w:rsidR="001608D3" w:rsidRPr="00065EEB" w:rsidRDefault="001608D3" w:rsidP="001608D3">
      <w:pPr>
        <w:pStyle w:val="RCVSBullet1"/>
        <w:tabs>
          <w:tab w:val="clear" w:pos="284"/>
          <w:tab w:val="clear" w:pos="567"/>
          <w:tab w:val="left" w:pos="720"/>
        </w:tabs>
        <w:spacing w:after="0" w:line="360" w:lineRule="auto"/>
        <w:rPr>
          <w:rFonts w:ascii="Arial" w:hAnsi="Arial" w:cs="Arial"/>
          <w:color w:val="000000" w:themeColor="text1"/>
          <w:szCs w:val="22"/>
        </w:rPr>
      </w:pPr>
    </w:p>
    <w:sectPr w:rsidR="001608D3" w:rsidRPr="00065EE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D47C3" w14:textId="77777777" w:rsidR="00AD76C8" w:rsidRDefault="00AD76C8" w:rsidP="00AD76C8">
      <w:pPr>
        <w:spacing w:after="0" w:line="240" w:lineRule="auto"/>
      </w:pPr>
      <w:r>
        <w:separator/>
      </w:r>
    </w:p>
  </w:endnote>
  <w:endnote w:type="continuationSeparator" w:id="0">
    <w:p w14:paraId="17B8AF02" w14:textId="77777777" w:rsidR="00AD76C8" w:rsidRDefault="00AD76C8" w:rsidP="00AD7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F743" w14:textId="0B8D3DEC" w:rsidR="00AD76C8" w:rsidRDefault="00065EEB">
    <w:pPr>
      <w:pStyle w:val="Footer"/>
    </w:pPr>
    <w:r>
      <w:t>November</w:t>
    </w:r>
    <w:r w:rsidR="00AD76C8">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CCBCC" w14:textId="77777777" w:rsidR="00AD76C8" w:rsidRDefault="00AD76C8" w:rsidP="00AD76C8">
      <w:pPr>
        <w:spacing w:after="0" w:line="240" w:lineRule="auto"/>
      </w:pPr>
      <w:r>
        <w:separator/>
      </w:r>
    </w:p>
  </w:footnote>
  <w:footnote w:type="continuationSeparator" w:id="0">
    <w:p w14:paraId="76D4861B" w14:textId="77777777" w:rsidR="00AD76C8" w:rsidRDefault="00AD76C8" w:rsidP="00AD76C8">
      <w:pPr>
        <w:spacing w:after="0" w:line="240" w:lineRule="auto"/>
      </w:pPr>
      <w:r>
        <w:continuationSeparator/>
      </w:r>
    </w:p>
  </w:footnote>
  <w:footnote w:id="1">
    <w:p w14:paraId="60792EAC" w14:textId="77777777" w:rsidR="0036164D" w:rsidRPr="00E52C1D" w:rsidRDefault="0036164D" w:rsidP="0036164D">
      <w:pPr>
        <w:pStyle w:val="FootnoteText"/>
        <w:rPr>
          <w:rFonts w:ascii="Arial" w:hAnsi="Arial" w:cs="Arial"/>
          <w:sz w:val="16"/>
          <w:szCs w:val="16"/>
        </w:rPr>
      </w:pPr>
      <w:r w:rsidRPr="00E52C1D">
        <w:rPr>
          <w:rStyle w:val="FootnoteReference"/>
          <w:rFonts w:ascii="Arial" w:hAnsi="Arial" w:cs="Arial"/>
          <w:sz w:val="16"/>
          <w:szCs w:val="16"/>
        </w:rPr>
        <w:footnoteRef/>
      </w:r>
      <w:r w:rsidRPr="00E52C1D">
        <w:rPr>
          <w:rFonts w:ascii="Arial" w:hAnsi="Arial" w:cs="Arial"/>
          <w:sz w:val="16"/>
          <w:szCs w:val="16"/>
        </w:rPr>
        <w:t xml:space="preserve"> The Welfare of Farmed Animals Regulations 2007 (as amended)</w:t>
      </w:r>
    </w:p>
  </w:footnote>
  <w:footnote w:id="2">
    <w:p w14:paraId="24006A7C" w14:textId="77777777" w:rsidR="0036164D" w:rsidRPr="00E52C1D" w:rsidRDefault="0036164D" w:rsidP="0036164D">
      <w:pPr>
        <w:pStyle w:val="FootnoteText"/>
        <w:rPr>
          <w:rFonts w:ascii="Arial" w:hAnsi="Arial" w:cs="Arial"/>
          <w:sz w:val="16"/>
          <w:szCs w:val="16"/>
        </w:rPr>
      </w:pPr>
      <w:r w:rsidRPr="00E52C1D">
        <w:rPr>
          <w:rStyle w:val="FootnoteReference"/>
          <w:rFonts w:ascii="Arial" w:hAnsi="Arial" w:cs="Arial"/>
          <w:sz w:val="16"/>
          <w:szCs w:val="16"/>
        </w:rPr>
        <w:footnoteRef/>
      </w:r>
      <w:r w:rsidRPr="00E52C1D">
        <w:rPr>
          <w:rFonts w:ascii="Arial" w:hAnsi="Arial" w:cs="Arial"/>
          <w:sz w:val="16"/>
          <w:szCs w:val="16"/>
        </w:rPr>
        <w:t xml:space="preserve"> Welfare of Animals at Market Order 1990</w:t>
      </w:r>
    </w:p>
  </w:footnote>
  <w:footnote w:id="3">
    <w:p w14:paraId="3F01CAAC" w14:textId="77777777" w:rsidR="0036164D" w:rsidRPr="00E52C1D" w:rsidRDefault="0036164D" w:rsidP="0036164D">
      <w:pPr>
        <w:pStyle w:val="FootnoteText"/>
        <w:rPr>
          <w:rFonts w:ascii="Arial" w:hAnsi="Arial" w:cs="Arial"/>
          <w:sz w:val="16"/>
          <w:szCs w:val="16"/>
        </w:rPr>
      </w:pPr>
      <w:r w:rsidRPr="00E52C1D">
        <w:rPr>
          <w:rStyle w:val="FootnoteReference"/>
          <w:rFonts w:ascii="Arial" w:hAnsi="Arial" w:cs="Arial"/>
          <w:sz w:val="16"/>
          <w:szCs w:val="16"/>
        </w:rPr>
        <w:footnoteRef/>
      </w:r>
      <w:r w:rsidRPr="00E52C1D">
        <w:rPr>
          <w:rFonts w:ascii="Arial" w:hAnsi="Arial" w:cs="Arial"/>
          <w:sz w:val="16"/>
          <w:szCs w:val="16"/>
        </w:rPr>
        <w:t xml:space="preserve"> Welfare of Animals (Transport) Order 2006</w:t>
      </w:r>
    </w:p>
  </w:footnote>
  <w:footnote w:id="4">
    <w:p w14:paraId="42C90818" w14:textId="77777777" w:rsidR="0036164D" w:rsidRPr="00E52C1D" w:rsidRDefault="0036164D" w:rsidP="0036164D">
      <w:pPr>
        <w:pStyle w:val="FootnoteText"/>
        <w:rPr>
          <w:rFonts w:ascii="Arial" w:hAnsi="Arial" w:cs="Arial"/>
          <w:sz w:val="16"/>
          <w:szCs w:val="16"/>
          <w:lang w:val="en-US"/>
        </w:rPr>
      </w:pPr>
      <w:r w:rsidRPr="00E52C1D">
        <w:rPr>
          <w:rStyle w:val="FootnoteReference"/>
          <w:rFonts w:ascii="Arial" w:hAnsi="Arial" w:cs="Arial"/>
          <w:sz w:val="16"/>
          <w:szCs w:val="16"/>
        </w:rPr>
        <w:footnoteRef/>
      </w:r>
      <w:r w:rsidRPr="00E52C1D">
        <w:rPr>
          <w:rFonts w:ascii="Arial" w:hAnsi="Arial" w:cs="Arial"/>
          <w:sz w:val="16"/>
          <w:szCs w:val="16"/>
        </w:rPr>
        <w:t xml:space="preserve"> </w:t>
      </w:r>
      <w:r w:rsidRPr="00E52C1D">
        <w:rPr>
          <w:rFonts w:ascii="Arial" w:hAnsi="Arial" w:cs="Arial"/>
          <w:sz w:val="16"/>
          <w:szCs w:val="16"/>
          <w:lang w:val="en-US"/>
        </w:rPr>
        <w:t>Council Regulation no 1/2005 on the protection of animals during transport and related operations</w:t>
      </w:r>
    </w:p>
  </w:footnote>
  <w:footnote w:id="5">
    <w:p w14:paraId="354851DE" w14:textId="77777777" w:rsidR="0036164D" w:rsidRPr="00E52C1D" w:rsidRDefault="0036164D" w:rsidP="0036164D">
      <w:pPr>
        <w:pStyle w:val="FootnoteText"/>
        <w:rPr>
          <w:rFonts w:ascii="Arial" w:hAnsi="Arial" w:cs="Arial"/>
          <w:sz w:val="16"/>
          <w:szCs w:val="16"/>
          <w:lang w:val="en-US"/>
        </w:rPr>
      </w:pPr>
      <w:r w:rsidRPr="00E52C1D">
        <w:rPr>
          <w:rStyle w:val="FootnoteReference"/>
          <w:rFonts w:ascii="Arial" w:hAnsi="Arial" w:cs="Arial"/>
          <w:sz w:val="16"/>
          <w:szCs w:val="16"/>
        </w:rPr>
        <w:footnoteRef/>
      </w:r>
      <w:r w:rsidRPr="00E52C1D">
        <w:rPr>
          <w:rFonts w:ascii="Arial" w:hAnsi="Arial" w:cs="Arial"/>
          <w:sz w:val="16"/>
          <w:szCs w:val="16"/>
        </w:rPr>
        <w:t xml:space="preserve"> </w:t>
      </w:r>
      <w:r w:rsidRPr="00E52C1D">
        <w:rPr>
          <w:rFonts w:ascii="Arial" w:hAnsi="Arial" w:cs="Arial"/>
          <w:sz w:val="16"/>
          <w:szCs w:val="16"/>
          <w:lang w:val="en-US"/>
        </w:rPr>
        <w:t>The Welfare of Animals at the Time of Killing (Scotland) Regulation 2012</w:t>
      </w:r>
    </w:p>
  </w:footnote>
  <w:footnote w:id="6">
    <w:p w14:paraId="327980A0" w14:textId="77777777" w:rsidR="0036164D" w:rsidRPr="00E52C1D" w:rsidRDefault="0036164D" w:rsidP="0036164D">
      <w:pPr>
        <w:pStyle w:val="FootnoteText"/>
        <w:rPr>
          <w:rFonts w:ascii="Arial" w:hAnsi="Arial" w:cs="Arial"/>
          <w:sz w:val="16"/>
          <w:szCs w:val="16"/>
          <w:lang w:val="en-US"/>
        </w:rPr>
      </w:pPr>
      <w:r w:rsidRPr="00E52C1D">
        <w:rPr>
          <w:rStyle w:val="FootnoteReference"/>
          <w:rFonts w:ascii="Arial" w:hAnsi="Arial" w:cs="Arial"/>
          <w:sz w:val="16"/>
          <w:szCs w:val="16"/>
        </w:rPr>
        <w:footnoteRef/>
      </w:r>
      <w:r w:rsidRPr="00E52C1D">
        <w:rPr>
          <w:rFonts w:ascii="Arial" w:hAnsi="Arial" w:cs="Arial"/>
          <w:sz w:val="16"/>
          <w:szCs w:val="16"/>
        </w:rPr>
        <w:t xml:space="preserve"> </w:t>
      </w:r>
      <w:r w:rsidRPr="00E52C1D">
        <w:rPr>
          <w:rFonts w:ascii="Arial" w:hAnsi="Arial" w:cs="Arial"/>
          <w:sz w:val="16"/>
          <w:szCs w:val="16"/>
          <w:lang w:val="en-US"/>
        </w:rPr>
        <w:t>The Welfare of Animals at the Time of Killing (Wales) Regulation 2014</w:t>
      </w:r>
    </w:p>
  </w:footnote>
  <w:footnote w:id="7">
    <w:p w14:paraId="7A483ED5" w14:textId="77777777" w:rsidR="0036164D" w:rsidRDefault="0036164D" w:rsidP="0036164D">
      <w:pPr>
        <w:pStyle w:val="FootnoteText"/>
        <w:rPr>
          <w:lang w:val="en-US"/>
        </w:rPr>
      </w:pPr>
      <w:r w:rsidRPr="00E52C1D">
        <w:rPr>
          <w:rStyle w:val="FootnoteReference"/>
          <w:rFonts w:ascii="Arial" w:hAnsi="Arial" w:cs="Arial"/>
          <w:sz w:val="16"/>
          <w:szCs w:val="16"/>
        </w:rPr>
        <w:footnoteRef/>
      </w:r>
      <w:r w:rsidRPr="00E52C1D">
        <w:rPr>
          <w:rFonts w:ascii="Arial" w:hAnsi="Arial" w:cs="Arial"/>
          <w:sz w:val="16"/>
          <w:szCs w:val="16"/>
        </w:rPr>
        <w:t xml:space="preserve"> </w:t>
      </w:r>
      <w:r w:rsidRPr="00E52C1D">
        <w:rPr>
          <w:rFonts w:ascii="Arial" w:hAnsi="Arial" w:cs="Arial"/>
          <w:sz w:val="16"/>
          <w:szCs w:val="16"/>
          <w:lang w:val="en-US"/>
        </w:rPr>
        <w:t>Council Regulation no 1099/2009 on the protection of animals at the time of killing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1066" w14:textId="205BA3C7" w:rsidR="006405F2" w:rsidRDefault="006405F2" w:rsidP="006405F2">
    <w:pPr>
      <w:pStyle w:val="Header"/>
      <w:jc w:val="right"/>
    </w:pPr>
    <w:r>
      <w:t>C-VPH.1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76E"/>
    <w:multiLevelType w:val="hybridMultilevel"/>
    <w:tmpl w:val="2BF4AEB6"/>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12697119"/>
    <w:multiLevelType w:val="multilevel"/>
    <w:tmpl w:val="1486A5D2"/>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1856"/>
        </w:tabs>
        <w:ind w:left="1856" w:hanging="72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2784"/>
        </w:tabs>
        <w:ind w:left="2784" w:hanging="108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3712"/>
        </w:tabs>
        <w:ind w:left="3712" w:hanging="1440"/>
      </w:pPr>
    </w:lvl>
  </w:abstractNum>
  <w:abstractNum w:abstractNumId="2" w15:restartNumberingAfterBreak="0">
    <w:nsid w:val="23D7307C"/>
    <w:multiLevelType w:val="hybridMultilevel"/>
    <w:tmpl w:val="83167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570061B"/>
    <w:multiLevelType w:val="hybridMultilevel"/>
    <w:tmpl w:val="E404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4105D"/>
    <w:multiLevelType w:val="hybridMultilevel"/>
    <w:tmpl w:val="D510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C1CAB"/>
    <w:multiLevelType w:val="hybridMultilevel"/>
    <w:tmpl w:val="E33C2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75139E"/>
    <w:multiLevelType w:val="hybridMultilevel"/>
    <w:tmpl w:val="7C568A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8B65EAB"/>
    <w:multiLevelType w:val="multilevel"/>
    <w:tmpl w:val="A956B77A"/>
    <w:lvl w:ilvl="0">
      <w:start w:val="1"/>
      <w:numFmt w:val="decimal"/>
      <w:lvlText w:val="%1"/>
      <w:lvlJc w:val="left"/>
      <w:pPr>
        <w:tabs>
          <w:tab w:val="num" w:pos="360"/>
        </w:tabs>
        <w:ind w:left="360" w:hanging="360"/>
      </w:pPr>
    </w:lvl>
    <w:lvl w:ilvl="1">
      <w:start w:val="1"/>
      <w:numFmt w:val="decimal"/>
      <w:lvlText w:val="2.%2"/>
      <w:lvlJc w:val="left"/>
      <w:pPr>
        <w:tabs>
          <w:tab w:val="num" w:pos="644"/>
        </w:tabs>
        <w:ind w:left="644"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1856"/>
        </w:tabs>
        <w:ind w:left="1856" w:hanging="72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2784"/>
        </w:tabs>
        <w:ind w:left="2784" w:hanging="108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3712"/>
        </w:tabs>
        <w:ind w:left="3712" w:hanging="1440"/>
      </w:pPr>
    </w:lvl>
  </w:abstractNum>
  <w:num w:numId="1" w16cid:durableId="484206512">
    <w:abstractNumId w:val="3"/>
  </w:num>
  <w:num w:numId="2" w16cid:durableId="1942639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5511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9631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671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6979004">
    <w:abstractNumId w:val="2"/>
  </w:num>
  <w:num w:numId="7" w16cid:durableId="512647146">
    <w:abstractNumId w:val="6"/>
  </w:num>
  <w:num w:numId="8" w16cid:durableId="1507749933">
    <w:abstractNumId w:val="4"/>
  </w:num>
  <w:num w:numId="9" w16cid:durableId="2094693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C8"/>
    <w:rsid w:val="00065EEB"/>
    <w:rsid w:val="001608D3"/>
    <w:rsid w:val="00344A72"/>
    <w:rsid w:val="00345625"/>
    <w:rsid w:val="0036164D"/>
    <w:rsid w:val="0038238A"/>
    <w:rsid w:val="003B49FF"/>
    <w:rsid w:val="00493F13"/>
    <w:rsid w:val="006405F2"/>
    <w:rsid w:val="00A005FC"/>
    <w:rsid w:val="00AA771B"/>
    <w:rsid w:val="00AD76C8"/>
    <w:rsid w:val="00C73C18"/>
    <w:rsid w:val="00E52C1D"/>
    <w:rsid w:val="00E5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2AF4"/>
  <w15:chartTrackingRefBased/>
  <w15:docId w15:val="{CFA9FFD9-7AB5-4078-BE72-A5F26D24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C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6C8"/>
    <w:pPr>
      <w:ind w:left="720"/>
      <w:contextualSpacing/>
    </w:pPr>
  </w:style>
  <w:style w:type="table" w:styleId="TableGrid">
    <w:name w:val="Table Grid"/>
    <w:basedOn w:val="TableNormal"/>
    <w:uiPriority w:val="39"/>
    <w:rsid w:val="00AD76C8"/>
    <w:pPr>
      <w:spacing w:beforeAutospacing="1"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D76C8"/>
    <w:pPr>
      <w:tabs>
        <w:tab w:val="center" w:pos="4513"/>
        <w:tab w:val="right" w:pos="9026"/>
      </w:tabs>
      <w:spacing w:after="0" w:line="240" w:lineRule="auto"/>
    </w:pPr>
  </w:style>
  <w:style w:type="character" w:customStyle="1" w:styleId="HeaderChar">
    <w:name w:val="Header Char"/>
    <w:basedOn w:val="DefaultParagraphFont"/>
    <w:link w:val="Header"/>
    <w:rsid w:val="00AD76C8"/>
  </w:style>
  <w:style w:type="paragraph" w:styleId="Footer">
    <w:name w:val="footer"/>
    <w:basedOn w:val="Normal"/>
    <w:link w:val="FooterChar"/>
    <w:uiPriority w:val="99"/>
    <w:unhideWhenUsed/>
    <w:rsid w:val="00AD7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6C8"/>
  </w:style>
  <w:style w:type="paragraph" w:customStyle="1" w:styleId="RCVSBody">
    <w:name w:val="RCVS Body"/>
    <w:rsid w:val="0036164D"/>
    <w:pPr>
      <w:tabs>
        <w:tab w:val="left" w:pos="284"/>
        <w:tab w:val="left" w:pos="567"/>
      </w:tabs>
      <w:suppressAutoHyphens/>
      <w:spacing w:after="0" w:line="300" w:lineRule="exact"/>
    </w:pPr>
    <w:rPr>
      <w:rFonts w:ascii="CG Omega" w:eastAsia="Calibri" w:hAnsi="CG Omega" w:cs="Times New Roman"/>
      <w:szCs w:val="20"/>
    </w:rPr>
  </w:style>
  <w:style w:type="paragraph" w:styleId="FootnoteText">
    <w:name w:val="footnote text"/>
    <w:basedOn w:val="Normal"/>
    <w:link w:val="FootnoteTextChar"/>
    <w:semiHidden/>
    <w:unhideWhenUsed/>
    <w:rsid w:val="0036164D"/>
    <w:pPr>
      <w:spacing w:after="0" w:line="240" w:lineRule="auto"/>
    </w:pPr>
    <w:rPr>
      <w:rFonts w:ascii="Helvetica" w:eastAsia="Times" w:hAnsi="Helvetica" w:cs="Times New Roman"/>
      <w:sz w:val="20"/>
      <w:szCs w:val="20"/>
      <w:lang w:eastAsia="en-GB"/>
    </w:rPr>
  </w:style>
  <w:style w:type="character" w:customStyle="1" w:styleId="FootnoteTextChar">
    <w:name w:val="Footnote Text Char"/>
    <w:basedOn w:val="DefaultParagraphFont"/>
    <w:link w:val="FootnoteText"/>
    <w:semiHidden/>
    <w:rsid w:val="0036164D"/>
    <w:rPr>
      <w:rFonts w:ascii="Helvetica" w:eastAsia="Times" w:hAnsi="Helvetica" w:cs="Times New Roman"/>
      <w:sz w:val="20"/>
      <w:szCs w:val="20"/>
      <w:lang w:eastAsia="en-GB"/>
    </w:rPr>
  </w:style>
  <w:style w:type="paragraph" w:customStyle="1" w:styleId="RCVSBullet1">
    <w:name w:val="RCVS Bullet 1"/>
    <w:basedOn w:val="RCVSBody"/>
    <w:uiPriority w:val="99"/>
    <w:rsid w:val="0036164D"/>
    <w:pPr>
      <w:spacing w:after="150"/>
    </w:pPr>
  </w:style>
  <w:style w:type="character" w:styleId="FootnoteReference">
    <w:name w:val="footnote reference"/>
    <w:basedOn w:val="DefaultParagraphFont"/>
    <w:semiHidden/>
    <w:unhideWhenUsed/>
    <w:rsid w:val="003616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68152">
      <w:bodyDiv w:val="1"/>
      <w:marLeft w:val="0"/>
      <w:marRight w:val="0"/>
      <w:marTop w:val="0"/>
      <w:marBottom w:val="0"/>
      <w:divBdr>
        <w:top w:val="none" w:sz="0" w:space="0" w:color="auto"/>
        <w:left w:val="none" w:sz="0" w:space="0" w:color="auto"/>
        <w:bottom w:val="none" w:sz="0" w:space="0" w:color="auto"/>
        <w:right w:val="none" w:sz="0" w:space="0" w:color="auto"/>
      </w:divBdr>
    </w:div>
    <w:div w:id="1178274384">
      <w:bodyDiv w:val="1"/>
      <w:marLeft w:val="0"/>
      <w:marRight w:val="0"/>
      <w:marTop w:val="0"/>
      <w:marBottom w:val="0"/>
      <w:divBdr>
        <w:top w:val="none" w:sz="0" w:space="0" w:color="auto"/>
        <w:left w:val="none" w:sz="0" w:space="0" w:color="auto"/>
        <w:bottom w:val="none" w:sz="0" w:space="0" w:color="auto"/>
        <w:right w:val="none" w:sz="0" w:space="0" w:color="auto"/>
      </w:divBdr>
    </w:div>
    <w:div w:id="1286425824">
      <w:bodyDiv w:val="1"/>
      <w:marLeft w:val="0"/>
      <w:marRight w:val="0"/>
      <w:marTop w:val="0"/>
      <w:marBottom w:val="0"/>
      <w:divBdr>
        <w:top w:val="none" w:sz="0" w:space="0" w:color="auto"/>
        <w:left w:val="none" w:sz="0" w:space="0" w:color="auto"/>
        <w:bottom w:val="none" w:sz="0" w:space="0" w:color="auto"/>
        <w:right w:val="none" w:sz="0" w:space="0" w:color="auto"/>
      </w:divBdr>
    </w:div>
    <w:div w:id="1292594567">
      <w:bodyDiv w:val="1"/>
      <w:marLeft w:val="0"/>
      <w:marRight w:val="0"/>
      <w:marTop w:val="0"/>
      <w:marBottom w:val="0"/>
      <w:divBdr>
        <w:top w:val="none" w:sz="0" w:space="0" w:color="auto"/>
        <w:left w:val="none" w:sz="0" w:space="0" w:color="auto"/>
        <w:bottom w:val="none" w:sz="0" w:space="0" w:color="auto"/>
        <w:right w:val="none" w:sz="0" w:space="0" w:color="auto"/>
      </w:divBdr>
    </w:div>
    <w:div w:id="143251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Crawford</dc:creator>
  <cp:keywords/>
  <dc:description/>
  <cp:lastModifiedBy>Britta Crawford</cp:lastModifiedBy>
  <cp:revision>2</cp:revision>
  <dcterms:created xsi:type="dcterms:W3CDTF">2022-11-28T17:33:00Z</dcterms:created>
  <dcterms:modified xsi:type="dcterms:W3CDTF">2022-11-28T17:33:00Z</dcterms:modified>
</cp:coreProperties>
</file>