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4F20" w14:textId="02510206" w:rsidR="000056AC" w:rsidRPr="00743682" w:rsidRDefault="00235711" w:rsidP="00235711">
      <w:pPr>
        <w:tabs>
          <w:tab w:val="left" w:pos="5780"/>
        </w:tabs>
        <w:rPr>
          <w:rFonts w:cs="Arial"/>
          <w:b/>
          <w:szCs w:val="20"/>
        </w:rPr>
      </w:pPr>
      <w:r>
        <w:rPr>
          <w:rFonts w:cs="Arial"/>
          <w:b/>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0056AC" w:rsidRPr="00693F81" w14:paraId="176660CC" w14:textId="77777777" w:rsidTr="00B44715">
        <w:tc>
          <w:tcPr>
            <w:tcW w:w="4505" w:type="dxa"/>
            <w:shd w:val="clear" w:color="auto" w:fill="auto"/>
          </w:tcPr>
          <w:p w14:paraId="14E05A31" w14:textId="77777777" w:rsidR="000056AC" w:rsidRPr="00693F81" w:rsidRDefault="000056AC" w:rsidP="00693F81">
            <w:pPr>
              <w:spacing w:after="0" w:line="300" w:lineRule="exact"/>
              <w:rPr>
                <w:rFonts w:cs="Arial"/>
                <w:b/>
                <w:szCs w:val="20"/>
              </w:rPr>
            </w:pPr>
            <w:r w:rsidRPr="00693F81">
              <w:rPr>
                <w:rFonts w:cs="Arial"/>
                <w:b/>
                <w:szCs w:val="20"/>
              </w:rPr>
              <w:t>REF. NO</w:t>
            </w:r>
          </w:p>
        </w:tc>
        <w:tc>
          <w:tcPr>
            <w:tcW w:w="4505" w:type="dxa"/>
            <w:shd w:val="clear" w:color="auto" w:fill="auto"/>
          </w:tcPr>
          <w:p w14:paraId="7DF0BBED" w14:textId="2CD1688A" w:rsidR="000056AC" w:rsidRPr="00693F81" w:rsidRDefault="000056AC" w:rsidP="00693F81">
            <w:pPr>
              <w:spacing w:after="0" w:line="300" w:lineRule="exact"/>
              <w:rPr>
                <w:rFonts w:cs="Arial"/>
                <w:b/>
                <w:szCs w:val="20"/>
              </w:rPr>
            </w:pPr>
            <w:r w:rsidRPr="00693F81">
              <w:rPr>
                <w:rFonts w:cs="Arial"/>
                <w:b/>
                <w:szCs w:val="20"/>
              </w:rPr>
              <w:t>C-SA</w:t>
            </w:r>
            <w:r w:rsidR="00990448" w:rsidRPr="00693F81">
              <w:rPr>
                <w:rFonts w:cs="Arial"/>
                <w:b/>
                <w:szCs w:val="20"/>
              </w:rPr>
              <w:t>A</w:t>
            </w:r>
            <w:r w:rsidRPr="00693F81">
              <w:rPr>
                <w:rFonts w:cs="Arial"/>
                <w:b/>
                <w:szCs w:val="20"/>
              </w:rPr>
              <w:t>CP.</w:t>
            </w:r>
            <w:r w:rsidR="00990448" w:rsidRPr="00693F81">
              <w:rPr>
                <w:rFonts w:cs="Arial"/>
                <w:b/>
                <w:szCs w:val="20"/>
              </w:rPr>
              <w:t>2</w:t>
            </w:r>
          </w:p>
        </w:tc>
      </w:tr>
      <w:tr w:rsidR="000056AC" w:rsidRPr="00693F81" w14:paraId="4B174205" w14:textId="77777777" w:rsidTr="00B44715">
        <w:tc>
          <w:tcPr>
            <w:tcW w:w="4505" w:type="dxa"/>
            <w:shd w:val="clear" w:color="auto" w:fill="auto"/>
          </w:tcPr>
          <w:p w14:paraId="4D9C2296" w14:textId="77777777" w:rsidR="000056AC" w:rsidRPr="00693F81" w:rsidRDefault="000056AC" w:rsidP="00693F81">
            <w:pPr>
              <w:spacing w:after="0" w:line="300" w:lineRule="exact"/>
              <w:rPr>
                <w:rFonts w:cs="Arial"/>
                <w:b/>
                <w:szCs w:val="20"/>
              </w:rPr>
            </w:pPr>
            <w:r w:rsidRPr="00693F81">
              <w:rPr>
                <w:rFonts w:cs="Arial"/>
                <w:b/>
                <w:szCs w:val="20"/>
              </w:rPr>
              <w:t>TITLE</w:t>
            </w:r>
          </w:p>
        </w:tc>
        <w:tc>
          <w:tcPr>
            <w:tcW w:w="4505" w:type="dxa"/>
            <w:shd w:val="clear" w:color="auto" w:fill="auto"/>
          </w:tcPr>
          <w:p w14:paraId="79E7C255" w14:textId="17B127D0" w:rsidR="000056AC" w:rsidRPr="00693F81" w:rsidRDefault="000056AC" w:rsidP="00693F81">
            <w:pPr>
              <w:spacing w:after="0" w:line="300" w:lineRule="exact"/>
              <w:rPr>
                <w:rFonts w:cs="Arial"/>
                <w:b/>
                <w:szCs w:val="20"/>
              </w:rPr>
            </w:pPr>
            <w:r w:rsidRPr="00693F81">
              <w:rPr>
                <w:rFonts w:cs="Arial"/>
                <w:b/>
                <w:szCs w:val="20"/>
              </w:rPr>
              <w:t xml:space="preserve">Small Animal Clinical Practice </w:t>
            </w:r>
            <w:r w:rsidR="00AE7871" w:rsidRPr="00693F81">
              <w:rPr>
                <w:rFonts w:cs="Arial"/>
                <w:b/>
                <w:szCs w:val="20"/>
              </w:rPr>
              <w:t>– Core Surgery</w:t>
            </w:r>
          </w:p>
        </w:tc>
      </w:tr>
      <w:tr w:rsidR="000056AC" w:rsidRPr="00693F81" w14:paraId="22C4DE82" w14:textId="77777777" w:rsidTr="00B44715">
        <w:tc>
          <w:tcPr>
            <w:tcW w:w="4505" w:type="dxa"/>
            <w:shd w:val="clear" w:color="auto" w:fill="auto"/>
          </w:tcPr>
          <w:p w14:paraId="564C9F7E" w14:textId="77777777" w:rsidR="000056AC" w:rsidRPr="00693F81" w:rsidRDefault="000056AC" w:rsidP="00693F81">
            <w:pPr>
              <w:spacing w:after="0" w:line="300" w:lineRule="exact"/>
              <w:rPr>
                <w:rFonts w:cs="Arial"/>
                <w:b/>
                <w:szCs w:val="20"/>
              </w:rPr>
            </w:pPr>
            <w:r w:rsidRPr="00693F81">
              <w:rPr>
                <w:rFonts w:cs="Arial"/>
                <w:b/>
                <w:szCs w:val="20"/>
              </w:rPr>
              <w:t>CATEGORY AND VALUE</w:t>
            </w:r>
          </w:p>
        </w:tc>
        <w:tc>
          <w:tcPr>
            <w:tcW w:w="4505" w:type="dxa"/>
            <w:shd w:val="clear" w:color="auto" w:fill="auto"/>
          </w:tcPr>
          <w:p w14:paraId="548F9145" w14:textId="77777777" w:rsidR="000056AC" w:rsidRPr="00693F81" w:rsidRDefault="000056AC" w:rsidP="00693F81">
            <w:pPr>
              <w:spacing w:after="0" w:line="300" w:lineRule="exact"/>
              <w:rPr>
                <w:rFonts w:cs="Arial"/>
                <w:b/>
                <w:szCs w:val="20"/>
              </w:rPr>
            </w:pPr>
            <w:r w:rsidRPr="00693F81">
              <w:rPr>
                <w:rFonts w:cs="Arial"/>
                <w:b/>
                <w:szCs w:val="20"/>
              </w:rPr>
              <w:t>C – 10 CREDITS</w:t>
            </w:r>
          </w:p>
        </w:tc>
      </w:tr>
      <w:tr w:rsidR="000056AC" w:rsidRPr="00693F81" w14:paraId="31FD52D4" w14:textId="77777777" w:rsidTr="00B44715">
        <w:tc>
          <w:tcPr>
            <w:tcW w:w="4505" w:type="dxa"/>
            <w:shd w:val="clear" w:color="auto" w:fill="auto"/>
          </w:tcPr>
          <w:p w14:paraId="7598DDEA" w14:textId="77777777" w:rsidR="000056AC" w:rsidRPr="00693F81" w:rsidRDefault="000056AC" w:rsidP="00693F81">
            <w:pPr>
              <w:spacing w:after="0" w:line="300" w:lineRule="exact"/>
              <w:rPr>
                <w:rFonts w:cs="Arial"/>
                <w:b/>
                <w:szCs w:val="20"/>
              </w:rPr>
            </w:pPr>
            <w:r w:rsidRPr="00693F81">
              <w:rPr>
                <w:rFonts w:cs="Arial"/>
                <w:b/>
                <w:szCs w:val="20"/>
              </w:rPr>
              <w:t>NOTIONAL STUDY HOURS</w:t>
            </w:r>
          </w:p>
        </w:tc>
        <w:tc>
          <w:tcPr>
            <w:tcW w:w="4505" w:type="dxa"/>
            <w:shd w:val="clear" w:color="auto" w:fill="auto"/>
          </w:tcPr>
          <w:p w14:paraId="04865F29" w14:textId="77777777" w:rsidR="000056AC" w:rsidRPr="00693F81" w:rsidRDefault="000056AC" w:rsidP="00693F81">
            <w:pPr>
              <w:spacing w:after="0" w:line="300" w:lineRule="exact"/>
              <w:rPr>
                <w:rFonts w:cs="Arial"/>
                <w:b/>
                <w:szCs w:val="20"/>
              </w:rPr>
            </w:pPr>
            <w:r w:rsidRPr="00693F81">
              <w:rPr>
                <w:rFonts w:cs="Arial"/>
                <w:b/>
                <w:szCs w:val="20"/>
              </w:rPr>
              <w:t>100</w:t>
            </w:r>
          </w:p>
        </w:tc>
      </w:tr>
    </w:tbl>
    <w:p w14:paraId="5E5F6BED" w14:textId="77777777" w:rsidR="000056AC" w:rsidRPr="00693F81" w:rsidRDefault="000056AC" w:rsidP="00693F81">
      <w:pPr>
        <w:spacing w:after="0" w:line="300" w:lineRule="exact"/>
        <w:rPr>
          <w:rFonts w:cs="Arial"/>
          <w:b/>
          <w:szCs w:val="20"/>
        </w:rPr>
      </w:pPr>
    </w:p>
    <w:p w14:paraId="0DBC45EE" w14:textId="69EF3A9C" w:rsidR="000056AC" w:rsidRDefault="000056AC" w:rsidP="00693F81">
      <w:pPr>
        <w:spacing w:after="0" w:line="300" w:lineRule="exact"/>
        <w:rPr>
          <w:rFonts w:cs="Arial"/>
          <w:b/>
          <w:szCs w:val="20"/>
        </w:rPr>
      </w:pPr>
      <w:r w:rsidRPr="00693F81">
        <w:rPr>
          <w:rFonts w:cs="Arial"/>
          <w:b/>
          <w:szCs w:val="20"/>
        </w:rPr>
        <w:t xml:space="preserve">INTRODUCTION </w:t>
      </w:r>
    </w:p>
    <w:p w14:paraId="19A872BA" w14:textId="77777777" w:rsidR="00693F81" w:rsidRPr="00693F81" w:rsidRDefault="00693F81" w:rsidP="00693F81">
      <w:pPr>
        <w:spacing w:after="0" w:line="300" w:lineRule="exact"/>
        <w:rPr>
          <w:rFonts w:cs="Arial"/>
          <w:b/>
          <w:szCs w:val="20"/>
        </w:rPr>
      </w:pPr>
    </w:p>
    <w:p w14:paraId="0AD38558" w14:textId="6E460D4E" w:rsidR="000056AC" w:rsidRDefault="000056AC" w:rsidP="00693F81">
      <w:pPr>
        <w:spacing w:after="0" w:line="300" w:lineRule="exact"/>
        <w:rPr>
          <w:rFonts w:cs="Arial"/>
          <w:szCs w:val="20"/>
        </w:rPr>
      </w:pPr>
      <w:r w:rsidRPr="00693F81">
        <w:rPr>
          <w:rFonts w:cs="Arial"/>
          <w:szCs w:val="20"/>
        </w:rPr>
        <w:t xml:space="preserve">The scope of the module is defined by a number of broad study areas. To achieve the intended </w:t>
      </w:r>
      <w:r w:rsidR="006061D9" w:rsidRPr="00693F81">
        <w:rPr>
          <w:rFonts w:cs="Arial"/>
          <w:szCs w:val="20"/>
        </w:rPr>
        <w:t>l</w:t>
      </w:r>
      <w:r w:rsidRPr="00693F81">
        <w:rPr>
          <w:rFonts w:cs="Arial"/>
          <w:szCs w:val="20"/>
        </w:rPr>
        <w:t xml:space="preserve">earning </w:t>
      </w:r>
      <w:r w:rsidR="006061D9" w:rsidRPr="00693F81">
        <w:rPr>
          <w:rFonts w:cs="Arial"/>
          <w:szCs w:val="20"/>
        </w:rPr>
        <w:t>o</w:t>
      </w:r>
      <w:r w:rsidRPr="00693F81">
        <w:rPr>
          <w:rFonts w:cs="Arial"/>
          <w:szCs w:val="20"/>
        </w:rPr>
        <w:t>utcomes, candidates will be required to demonstrate knowledge, understanding and capability in these areas; however, the required breadth and level of study will depend on existing familiarity which candidates have with the subject matter and on their individual learning needs.</w:t>
      </w:r>
    </w:p>
    <w:p w14:paraId="10794AF9" w14:textId="77777777" w:rsidR="00693F81" w:rsidRPr="00693F81" w:rsidRDefault="00693F81" w:rsidP="00693F81">
      <w:pPr>
        <w:spacing w:after="0" w:line="300" w:lineRule="exact"/>
        <w:rPr>
          <w:rFonts w:cs="Arial"/>
          <w:szCs w:val="20"/>
        </w:rPr>
      </w:pPr>
    </w:p>
    <w:p w14:paraId="70360C67" w14:textId="183DD9A6" w:rsidR="00AE7871" w:rsidRDefault="00F11332" w:rsidP="00693F81">
      <w:pPr>
        <w:spacing w:after="0" w:line="300" w:lineRule="exact"/>
        <w:rPr>
          <w:rFonts w:cs="Arial"/>
          <w:b/>
          <w:bCs/>
          <w:szCs w:val="20"/>
        </w:rPr>
      </w:pPr>
      <w:r w:rsidRPr="00693F81">
        <w:rPr>
          <w:rFonts w:cs="Arial"/>
          <w:b/>
          <w:bCs/>
          <w:szCs w:val="20"/>
        </w:rPr>
        <w:t xml:space="preserve">AIMS &amp; </w:t>
      </w:r>
      <w:r w:rsidR="00AE7871" w:rsidRPr="00693F81">
        <w:rPr>
          <w:rFonts w:cs="Arial"/>
          <w:b/>
          <w:bCs/>
          <w:szCs w:val="20"/>
        </w:rPr>
        <w:t>STANDARDS</w:t>
      </w:r>
    </w:p>
    <w:p w14:paraId="17D368B5" w14:textId="77777777" w:rsidR="00693F81" w:rsidRPr="00693F81" w:rsidRDefault="00693F81" w:rsidP="00693F81">
      <w:pPr>
        <w:spacing w:after="0" w:line="300" w:lineRule="exact"/>
        <w:rPr>
          <w:rFonts w:cs="Arial"/>
          <w:b/>
          <w:bCs/>
          <w:szCs w:val="20"/>
        </w:rPr>
      </w:pPr>
    </w:p>
    <w:p w14:paraId="300B849F" w14:textId="38E1057F" w:rsidR="000056AC" w:rsidRPr="00693F81" w:rsidRDefault="00AE7871" w:rsidP="00693F81">
      <w:pPr>
        <w:pStyle w:val="RCVSBody"/>
        <w:rPr>
          <w:rFonts w:ascii="Arial" w:hAnsi="Arial" w:cs="Arial"/>
          <w:sz w:val="20"/>
        </w:rPr>
      </w:pPr>
      <w:r w:rsidRPr="00693F81">
        <w:rPr>
          <w:rFonts w:ascii="Arial" w:hAnsi="Arial" w:cs="Arial"/>
          <w:sz w:val="20"/>
        </w:rPr>
        <w:t xml:space="preserve">The aim of this module is to expand on and consolidate the existing knowledge and skills of the general practitioner, strengthening their approach to the surgical management of small animal cases. Using the latest evidence based veterinary medicine, candidates will learn </w:t>
      </w:r>
      <w:r w:rsidR="00F11332" w:rsidRPr="00693F81">
        <w:rPr>
          <w:rFonts w:ascii="Arial" w:hAnsi="Arial" w:cs="Arial"/>
          <w:sz w:val="20"/>
        </w:rPr>
        <w:t xml:space="preserve">core surgical </w:t>
      </w:r>
      <w:r w:rsidRPr="00693F81">
        <w:rPr>
          <w:rFonts w:ascii="Arial" w:hAnsi="Arial" w:cs="Arial"/>
          <w:sz w:val="20"/>
        </w:rPr>
        <w:t xml:space="preserve">techniques </w:t>
      </w:r>
      <w:r w:rsidR="00F11332" w:rsidRPr="00693F81">
        <w:rPr>
          <w:rFonts w:ascii="Arial" w:hAnsi="Arial" w:cs="Arial"/>
          <w:sz w:val="20"/>
        </w:rPr>
        <w:t xml:space="preserve">in both soft tissue and orthopaedic surgery. </w:t>
      </w:r>
      <w:r w:rsidR="000056AC" w:rsidRPr="00693F81">
        <w:rPr>
          <w:rFonts w:ascii="Arial" w:hAnsi="Arial" w:cs="Arial"/>
          <w:sz w:val="20"/>
        </w:rPr>
        <w:t xml:space="preserve">Within each subject area, the module builds on the teaching and learning that has already been acquired from the B module in Small Animal Practice. </w:t>
      </w:r>
    </w:p>
    <w:p w14:paraId="44EB92EA" w14:textId="77777777" w:rsidR="000056AC" w:rsidRPr="00693F81" w:rsidRDefault="000056AC" w:rsidP="00693F81">
      <w:pPr>
        <w:spacing w:after="0" w:line="300" w:lineRule="exact"/>
        <w:rPr>
          <w:rFonts w:cs="Arial"/>
          <w:szCs w:val="20"/>
        </w:rPr>
      </w:pPr>
      <w:r w:rsidRPr="00693F81">
        <w:rPr>
          <w:rFonts w:cs="Arial"/>
          <w:szCs w:val="20"/>
        </w:rPr>
        <w:t>Before embarking on this module, candidates must fulfil the following criteria:</w:t>
      </w:r>
    </w:p>
    <w:p w14:paraId="1C6FFBF8" w14:textId="77777777" w:rsidR="000056AC" w:rsidRPr="00693F81" w:rsidRDefault="000056AC" w:rsidP="00693F81">
      <w:pPr>
        <w:pStyle w:val="ListParagraph"/>
        <w:numPr>
          <w:ilvl w:val="0"/>
          <w:numId w:val="1"/>
        </w:numPr>
        <w:spacing w:after="0" w:line="300" w:lineRule="exact"/>
        <w:contextualSpacing/>
        <w:rPr>
          <w:rFonts w:cs="Arial"/>
          <w:szCs w:val="20"/>
        </w:rPr>
      </w:pPr>
      <w:r w:rsidRPr="00693F81">
        <w:rPr>
          <w:rFonts w:cs="Arial"/>
          <w:szCs w:val="20"/>
        </w:rPr>
        <w:t>The candidate should have completed module B-SAP.1.</w:t>
      </w:r>
    </w:p>
    <w:p w14:paraId="0F220E39" w14:textId="77777777" w:rsidR="000056AC" w:rsidRPr="00693F81" w:rsidRDefault="000056AC" w:rsidP="00693F81">
      <w:pPr>
        <w:pStyle w:val="ListParagraph"/>
        <w:numPr>
          <w:ilvl w:val="0"/>
          <w:numId w:val="1"/>
        </w:numPr>
        <w:spacing w:after="0" w:line="300" w:lineRule="exact"/>
        <w:contextualSpacing/>
        <w:rPr>
          <w:rFonts w:cs="Arial"/>
          <w:szCs w:val="20"/>
        </w:rPr>
      </w:pPr>
      <w:r w:rsidRPr="00693F81">
        <w:rPr>
          <w:rFonts w:cs="Arial"/>
          <w:szCs w:val="20"/>
        </w:rPr>
        <w:t>It is the responsibility of the candidate to ensure that they have access to sufficient clinical cases to produce adequate material for the module.</w:t>
      </w:r>
    </w:p>
    <w:p w14:paraId="28884BDE" w14:textId="77777777" w:rsidR="000056AC" w:rsidRPr="00693F81" w:rsidRDefault="000056AC" w:rsidP="00693F81">
      <w:pPr>
        <w:pStyle w:val="ListParagraph"/>
        <w:numPr>
          <w:ilvl w:val="0"/>
          <w:numId w:val="1"/>
        </w:numPr>
        <w:spacing w:after="0" w:line="300" w:lineRule="exact"/>
        <w:contextualSpacing/>
        <w:rPr>
          <w:rFonts w:cs="Arial"/>
          <w:szCs w:val="20"/>
        </w:rPr>
      </w:pPr>
      <w:r w:rsidRPr="00693F81">
        <w:rPr>
          <w:rFonts w:cs="Arial"/>
          <w:szCs w:val="20"/>
        </w:rPr>
        <w:t>It is the responsibility of the candidate to be aware of the limitations of their facilities to carry out clinical procedures and techniques that might be taught in the course of this module.</w:t>
      </w:r>
    </w:p>
    <w:p w14:paraId="0FD34F1B" w14:textId="77777777" w:rsidR="000056AC" w:rsidRPr="00693F81" w:rsidRDefault="000056AC" w:rsidP="00693F81">
      <w:pPr>
        <w:spacing w:after="0" w:line="300" w:lineRule="exact"/>
        <w:contextualSpacing/>
        <w:rPr>
          <w:rFonts w:cs="Arial"/>
          <w:szCs w:val="20"/>
        </w:rPr>
      </w:pPr>
    </w:p>
    <w:p w14:paraId="388E6EEA" w14:textId="2464B276" w:rsidR="000056AC" w:rsidRDefault="000056AC" w:rsidP="00693F81">
      <w:pPr>
        <w:spacing w:after="0" w:line="300" w:lineRule="exact"/>
        <w:rPr>
          <w:rFonts w:cs="Arial"/>
          <w:b/>
          <w:szCs w:val="20"/>
        </w:rPr>
      </w:pPr>
      <w:r w:rsidRPr="00693F81">
        <w:rPr>
          <w:rFonts w:cs="Arial"/>
          <w:b/>
          <w:szCs w:val="20"/>
        </w:rPr>
        <w:t>LEARNING OUTCOMES</w:t>
      </w:r>
    </w:p>
    <w:p w14:paraId="461F1004" w14:textId="77777777" w:rsidR="00693F81" w:rsidRPr="00693F81" w:rsidRDefault="00693F81" w:rsidP="00693F81">
      <w:pPr>
        <w:spacing w:after="0" w:line="300" w:lineRule="exact"/>
        <w:rPr>
          <w:rFonts w:cs="Arial"/>
          <w:b/>
          <w:szCs w:val="20"/>
        </w:rPr>
      </w:pPr>
    </w:p>
    <w:p w14:paraId="4B41D203" w14:textId="5C514FD2" w:rsidR="000056AC" w:rsidRPr="00693F81" w:rsidRDefault="000056AC" w:rsidP="00693F81">
      <w:pPr>
        <w:spacing w:after="0" w:line="300" w:lineRule="exact"/>
        <w:jc w:val="both"/>
        <w:rPr>
          <w:rFonts w:cs="Arial"/>
          <w:color w:val="000000"/>
          <w:szCs w:val="20"/>
        </w:rPr>
      </w:pPr>
      <w:r w:rsidRPr="00693F81">
        <w:rPr>
          <w:rFonts w:cs="Arial"/>
          <w:color w:val="000000"/>
          <w:szCs w:val="20"/>
        </w:rPr>
        <w:t xml:space="preserve">After completing this module, candidates should have gained core skills in </w:t>
      </w:r>
      <w:r w:rsidR="00990448" w:rsidRPr="00693F81">
        <w:rPr>
          <w:rFonts w:cs="Arial"/>
          <w:color w:val="000000"/>
          <w:szCs w:val="20"/>
        </w:rPr>
        <w:t xml:space="preserve">both </w:t>
      </w:r>
      <w:r w:rsidRPr="00693F81">
        <w:rPr>
          <w:rFonts w:cs="Arial"/>
          <w:color w:val="000000"/>
          <w:szCs w:val="20"/>
        </w:rPr>
        <w:t>soft tissue surgery</w:t>
      </w:r>
      <w:r w:rsidR="00990448" w:rsidRPr="00693F81">
        <w:rPr>
          <w:rFonts w:cs="Arial"/>
          <w:color w:val="000000"/>
          <w:szCs w:val="20"/>
        </w:rPr>
        <w:t xml:space="preserve"> and </w:t>
      </w:r>
      <w:r w:rsidRPr="00693F81">
        <w:rPr>
          <w:rFonts w:cs="Arial"/>
          <w:color w:val="000000"/>
          <w:szCs w:val="20"/>
        </w:rPr>
        <w:t xml:space="preserve">orthopaedic surgery. </w:t>
      </w:r>
      <w:r w:rsidR="006E75D5" w:rsidRPr="00693F81">
        <w:rPr>
          <w:rFonts w:cs="Arial"/>
          <w:szCs w:val="20"/>
        </w:rPr>
        <w:t>During this module the candidate will learn</w:t>
      </w:r>
      <w:r w:rsidR="00D20BC5" w:rsidRPr="00693F81">
        <w:rPr>
          <w:rFonts w:cs="Arial"/>
          <w:szCs w:val="20"/>
        </w:rPr>
        <w:t xml:space="preserve"> to</w:t>
      </w:r>
      <w:r w:rsidR="006E75D5" w:rsidRPr="00693F81">
        <w:rPr>
          <w:rFonts w:cs="Arial"/>
          <w:szCs w:val="20"/>
        </w:rPr>
        <w:t>:</w:t>
      </w:r>
    </w:p>
    <w:p w14:paraId="6B52E945" w14:textId="77777777" w:rsidR="00D20BC5" w:rsidRPr="00693F81" w:rsidRDefault="00D20BC5" w:rsidP="00693F81">
      <w:pPr>
        <w:pStyle w:val="ListParagraph"/>
        <w:numPr>
          <w:ilvl w:val="0"/>
          <w:numId w:val="15"/>
        </w:numPr>
        <w:spacing w:after="0" w:line="300" w:lineRule="exact"/>
        <w:jc w:val="both"/>
        <w:rPr>
          <w:rFonts w:eastAsia="Arial" w:cs="Arial"/>
          <w:szCs w:val="20"/>
        </w:rPr>
      </w:pPr>
      <w:r w:rsidRPr="00693F81">
        <w:rPr>
          <w:rFonts w:eastAsia="Arial" w:cs="Arial"/>
          <w:szCs w:val="20"/>
        </w:rPr>
        <w:t>E</w:t>
      </w:r>
      <w:r w:rsidR="006E75D5" w:rsidRPr="00693F81">
        <w:rPr>
          <w:rFonts w:eastAsia="Arial" w:cs="Arial"/>
          <w:szCs w:val="20"/>
        </w:rPr>
        <w:t xml:space="preserve">nhance the depth and breadth of the candidate’s knowledge, understanding and performance of </w:t>
      </w:r>
      <w:r w:rsidR="006E75D5" w:rsidRPr="00693F81">
        <w:rPr>
          <w:rFonts w:cs="Arial"/>
          <w:color w:val="000000"/>
          <w:szCs w:val="20"/>
        </w:rPr>
        <w:t xml:space="preserve">soft tissue surgery and orthopaedic surgery </w:t>
      </w:r>
      <w:r w:rsidR="006E75D5" w:rsidRPr="00693F81">
        <w:rPr>
          <w:rFonts w:eastAsia="Arial" w:cs="Arial"/>
          <w:szCs w:val="20"/>
        </w:rPr>
        <w:t>in dogs and cats including pathophysiology, clinical signs, diagnostic approach and rational therapy</w:t>
      </w:r>
    </w:p>
    <w:p w14:paraId="39ED3C93" w14:textId="77777777" w:rsidR="00D20BC5" w:rsidRPr="00693F81" w:rsidRDefault="000056AC" w:rsidP="00693F81">
      <w:pPr>
        <w:pStyle w:val="ListParagraph"/>
        <w:numPr>
          <w:ilvl w:val="0"/>
          <w:numId w:val="15"/>
        </w:numPr>
        <w:spacing w:after="0" w:line="300" w:lineRule="exact"/>
        <w:jc w:val="both"/>
        <w:rPr>
          <w:rFonts w:eastAsia="Arial" w:cs="Arial"/>
          <w:szCs w:val="20"/>
        </w:rPr>
      </w:pPr>
      <w:r w:rsidRPr="00693F81">
        <w:rPr>
          <w:rFonts w:cs="Arial"/>
          <w:color w:val="000000"/>
          <w:szCs w:val="20"/>
        </w:rPr>
        <w:t>Critically appraise and reflect on current working practices within the disciplines of small animal surgery</w:t>
      </w:r>
    </w:p>
    <w:p w14:paraId="0681AEAD" w14:textId="77777777" w:rsidR="00D20BC5" w:rsidRPr="00693F81" w:rsidRDefault="006E75D5" w:rsidP="00693F81">
      <w:pPr>
        <w:pStyle w:val="ListParagraph"/>
        <w:numPr>
          <w:ilvl w:val="0"/>
          <w:numId w:val="15"/>
        </w:numPr>
        <w:spacing w:after="0" w:line="300" w:lineRule="exact"/>
        <w:jc w:val="both"/>
        <w:rPr>
          <w:rFonts w:eastAsia="Arial" w:cs="Arial"/>
          <w:szCs w:val="20"/>
        </w:rPr>
      </w:pPr>
      <w:r w:rsidRPr="00693F81">
        <w:rPr>
          <w:rFonts w:eastAsia="Arial" w:cs="Arial"/>
          <w:szCs w:val="20"/>
        </w:rPr>
        <w:t>Review and constructively criticise current literature relating to the discipline to enable them to determine its relevance to their current practice</w:t>
      </w:r>
    </w:p>
    <w:p w14:paraId="600655DD" w14:textId="77777777" w:rsidR="00D20BC5" w:rsidRPr="00693F81" w:rsidRDefault="006E75D5" w:rsidP="00693F81">
      <w:pPr>
        <w:pStyle w:val="ListParagraph"/>
        <w:numPr>
          <w:ilvl w:val="0"/>
          <w:numId w:val="15"/>
        </w:numPr>
        <w:spacing w:after="0" w:line="300" w:lineRule="exact"/>
        <w:jc w:val="both"/>
        <w:rPr>
          <w:rFonts w:eastAsia="Arial" w:cs="Arial"/>
          <w:szCs w:val="20"/>
        </w:rPr>
      </w:pPr>
      <w:r w:rsidRPr="00693F81">
        <w:rPr>
          <w:rFonts w:eastAsia="Arial" w:cs="Arial"/>
          <w:szCs w:val="20"/>
        </w:rPr>
        <w:t>Use available resources to achieve optimum results in their practice circumstances in relation to general surgical cases</w:t>
      </w:r>
    </w:p>
    <w:p w14:paraId="4E6D62D5" w14:textId="77777777" w:rsidR="00D20BC5" w:rsidRPr="00693F81" w:rsidRDefault="006E75D5" w:rsidP="00693F81">
      <w:pPr>
        <w:pStyle w:val="ListParagraph"/>
        <w:numPr>
          <w:ilvl w:val="0"/>
          <w:numId w:val="15"/>
        </w:numPr>
        <w:spacing w:after="0" w:line="300" w:lineRule="exact"/>
        <w:jc w:val="both"/>
        <w:rPr>
          <w:rFonts w:eastAsia="Arial" w:cs="Arial"/>
          <w:szCs w:val="20"/>
        </w:rPr>
      </w:pPr>
      <w:r w:rsidRPr="00693F81">
        <w:rPr>
          <w:rFonts w:eastAsia="Arial" w:cs="Arial"/>
          <w:szCs w:val="20"/>
        </w:rPr>
        <w:t>Reflect on the outcomes of their clinical work, using this process to improve performance</w:t>
      </w:r>
    </w:p>
    <w:p w14:paraId="113A8793" w14:textId="6E18F49F" w:rsidR="000056AC" w:rsidRPr="00693F81" w:rsidRDefault="006E75D5" w:rsidP="00693F81">
      <w:pPr>
        <w:pStyle w:val="ListParagraph"/>
        <w:numPr>
          <w:ilvl w:val="0"/>
          <w:numId w:val="15"/>
        </w:numPr>
        <w:spacing w:after="0" w:line="300" w:lineRule="exact"/>
        <w:jc w:val="both"/>
        <w:rPr>
          <w:rFonts w:eastAsia="Arial" w:cs="Arial"/>
          <w:szCs w:val="20"/>
        </w:rPr>
      </w:pPr>
      <w:r w:rsidRPr="00693F81">
        <w:rPr>
          <w:rFonts w:eastAsia="Arial" w:cs="Arial"/>
          <w:szCs w:val="20"/>
        </w:rPr>
        <w:t>Recognise when a case is truly unusual or beyond their personal or practice capabilities, and provide an effective channel of referral where appropriate</w:t>
      </w:r>
      <w:r w:rsidR="000056AC" w:rsidRPr="00693F81">
        <w:rPr>
          <w:rFonts w:cs="Arial"/>
          <w:b/>
          <w:bCs/>
          <w:color w:val="000000" w:themeColor="text1"/>
          <w:szCs w:val="20"/>
        </w:rPr>
        <w:br w:type="page"/>
      </w:r>
    </w:p>
    <w:p w14:paraId="0D6FC2BC" w14:textId="30B6374E" w:rsidR="000056AC" w:rsidRDefault="00EE35BA" w:rsidP="00693F81">
      <w:pPr>
        <w:spacing w:after="0" w:line="300" w:lineRule="exact"/>
        <w:rPr>
          <w:rFonts w:cs="Arial"/>
          <w:b/>
          <w:bCs/>
          <w:color w:val="000000" w:themeColor="text1"/>
          <w:szCs w:val="20"/>
        </w:rPr>
      </w:pPr>
      <w:r w:rsidRPr="00693F81">
        <w:rPr>
          <w:rFonts w:cs="Arial"/>
          <w:b/>
          <w:bCs/>
          <w:color w:val="000000" w:themeColor="text1"/>
          <w:szCs w:val="20"/>
        </w:rPr>
        <w:lastRenderedPageBreak/>
        <w:t xml:space="preserve">MODULE CONTENT / </w:t>
      </w:r>
      <w:r w:rsidR="000056AC" w:rsidRPr="00693F81">
        <w:rPr>
          <w:rFonts w:cs="Arial"/>
          <w:b/>
          <w:bCs/>
          <w:color w:val="000000" w:themeColor="text1"/>
          <w:szCs w:val="20"/>
        </w:rPr>
        <w:t>SYLLABUS</w:t>
      </w:r>
    </w:p>
    <w:p w14:paraId="59747A9C" w14:textId="77777777" w:rsidR="00693F81" w:rsidRPr="00693F81" w:rsidRDefault="00693F81" w:rsidP="00693F81">
      <w:pPr>
        <w:spacing w:after="0" w:line="300" w:lineRule="exact"/>
        <w:rPr>
          <w:rFonts w:cs="Arial"/>
          <w:b/>
          <w:bCs/>
          <w:color w:val="000000" w:themeColor="text1"/>
          <w:szCs w:val="20"/>
        </w:rPr>
      </w:pPr>
    </w:p>
    <w:p w14:paraId="2AA5CBA2" w14:textId="77777777" w:rsidR="000D3CF8" w:rsidRPr="00693F81" w:rsidRDefault="000D3CF8" w:rsidP="00693F81">
      <w:pPr>
        <w:pStyle w:val="ListParagraph"/>
        <w:numPr>
          <w:ilvl w:val="0"/>
          <w:numId w:val="4"/>
        </w:numPr>
        <w:spacing w:after="0" w:line="300" w:lineRule="exact"/>
        <w:contextualSpacing/>
        <w:rPr>
          <w:rFonts w:cs="Arial"/>
          <w:szCs w:val="20"/>
        </w:rPr>
      </w:pPr>
      <w:r w:rsidRPr="00693F81">
        <w:rPr>
          <w:rFonts w:cs="Arial"/>
          <w:szCs w:val="20"/>
        </w:rPr>
        <w:t>Surgical energy devices</w:t>
      </w:r>
    </w:p>
    <w:p w14:paraId="3581D919"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Monopolar electrosurgery</w:t>
      </w:r>
    </w:p>
    <w:p w14:paraId="5F050819" w14:textId="1FCF368A"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Bipolar electrosurgery</w:t>
      </w:r>
    </w:p>
    <w:p w14:paraId="74AE750A" w14:textId="77777777" w:rsidR="000D3CF8" w:rsidRPr="00693F81" w:rsidRDefault="000D3CF8" w:rsidP="00693F81">
      <w:pPr>
        <w:pStyle w:val="ListParagraph"/>
        <w:numPr>
          <w:ilvl w:val="0"/>
          <w:numId w:val="4"/>
        </w:numPr>
        <w:spacing w:after="0" w:line="300" w:lineRule="exact"/>
        <w:contextualSpacing/>
        <w:rPr>
          <w:rFonts w:cs="Arial"/>
          <w:szCs w:val="20"/>
        </w:rPr>
      </w:pPr>
      <w:r w:rsidRPr="00693F81">
        <w:rPr>
          <w:rFonts w:cs="Arial"/>
          <w:szCs w:val="20"/>
        </w:rPr>
        <w:t xml:space="preserve">Exploratory </w:t>
      </w:r>
      <w:proofErr w:type="spellStart"/>
      <w:r w:rsidRPr="00693F81">
        <w:rPr>
          <w:rFonts w:cs="Arial"/>
          <w:szCs w:val="20"/>
        </w:rPr>
        <w:t>coeliotomy</w:t>
      </w:r>
      <w:proofErr w:type="spellEnd"/>
    </w:p>
    <w:p w14:paraId="63CD06C1"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Organ biopsy techniques</w:t>
      </w:r>
    </w:p>
    <w:p w14:paraId="4B88F959" w14:textId="77777777" w:rsidR="000D3CF8" w:rsidRPr="00693F81" w:rsidRDefault="000D3CF8" w:rsidP="00693F81">
      <w:pPr>
        <w:pStyle w:val="ListParagraph"/>
        <w:numPr>
          <w:ilvl w:val="0"/>
          <w:numId w:val="4"/>
        </w:numPr>
        <w:spacing w:after="0" w:line="300" w:lineRule="exact"/>
        <w:contextualSpacing/>
        <w:rPr>
          <w:rFonts w:cs="Arial"/>
          <w:szCs w:val="20"/>
        </w:rPr>
      </w:pPr>
      <w:r w:rsidRPr="00693F81">
        <w:rPr>
          <w:rFonts w:cs="Arial"/>
          <w:szCs w:val="20"/>
        </w:rPr>
        <w:t>Surgical oncology</w:t>
      </w:r>
    </w:p>
    <w:p w14:paraId="60D2A000"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Biopsy (incisional / excisional)</w:t>
      </w:r>
    </w:p>
    <w:p w14:paraId="0B510395"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Principles of surgical oncology by region / organ type / cancer classification</w:t>
      </w:r>
    </w:p>
    <w:p w14:paraId="1A32FFD4" w14:textId="77777777" w:rsidR="000D3CF8" w:rsidRPr="00693F81" w:rsidRDefault="000D3CF8" w:rsidP="00693F81">
      <w:pPr>
        <w:pStyle w:val="ListParagraph"/>
        <w:numPr>
          <w:ilvl w:val="0"/>
          <w:numId w:val="4"/>
        </w:numPr>
        <w:spacing w:after="0" w:line="300" w:lineRule="exact"/>
        <w:contextualSpacing/>
        <w:rPr>
          <w:rFonts w:cs="Arial"/>
          <w:szCs w:val="20"/>
        </w:rPr>
      </w:pPr>
      <w:r w:rsidRPr="00693F81">
        <w:rPr>
          <w:rFonts w:cs="Arial"/>
          <w:szCs w:val="20"/>
        </w:rPr>
        <w:t>Wound closure</w:t>
      </w:r>
    </w:p>
    <w:p w14:paraId="318D32B8" w14:textId="09E5232A" w:rsidR="000D3CF8" w:rsidRPr="00693F81" w:rsidRDefault="001E0413" w:rsidP="00693F81">
      <w:pPr>
        <w:pStyle w:val="ListParagraph"/>
        <w:numPr>
          <w:ilvl w:val="1"/>
          <w:numId w:val="4"/>
        </w:numPr>
        <w:spacing w:after="0" w:line="300" w:lineRule="exact"/>
        <w:contextualSpacing/>
        <w:rPr>
          <w:rFonts w:cs="Arial"/>
          <w:szCs w:val="20"/>
        </w:rPr>
      </w:pPr>
      <w:r w:rsidRPr="00693F81">
        <w:rPr>
          <w:rFonts w:cs="Arial"/>
          <w:szCs w:val="20"/>
        </w:rPr>
        <w:t>Skin tension relieving techniques</w:t>
      </w:r>
    </w:p>
    <w:p w14:paraId="10DF9A5C" w14:textId="068C0C27" w:rsidR="000D3CF8" w:rsidRPr="00693F81" w:rsidRDefault="001E0413" w:rsidP="00693F81">
      <w:pPr>
        <w:pStyle w:val="ListParagraph"/>
        <w:numPr>
          <w:ilvl w:val="1"/>
          <w:numId w:val="4"/>
        </w:numPr>
        <w:spacing w:after="0" w:line="300" w:lineRule="exact"/>
        <w:contextualSpacing/>
        <w:rPr>
          <w:rFonts w:cs="Arial"/>
          <w:szCs w:val="20"/>
        </w:rPr>
      </w:pPr>
      <w:r w:rsidRPr="00693F81">
        <w:rPr>
          <w:rFonts w:cs="Arial"/>
          <w:szCs w:val="20"/>
        </w:rPr>
        <w:t>Rotation flaps</w:t>
      </w:r>
    </w:p>
    <w:p w14:paraId="45BADE34" w14:textId="5DEFFB92" w:rsidR="001E0413" w:rsidRPr="00693F81" w:rsidRDefault="00A44985" w:rsidP="00693F81">
      <w:pPr>
        <w:pStyle w:val="ListParagraph"/>
        <w:numPr>
          <w:ilvl w:val="1"/>
          <w:numId w:val="4"/>
        </w:numPr>
        <w:spacing w:after="0" w:line="300" w:lineRule="exact"/>
        <w:contextualSpacing/>
        <w:rPr>
          <w:rFonts w:cs="Arial"/>
          <w:szCs w:val="20"/>
        </w:rPr>
      </w:pPr>
      <w:r w:rsidRPr="00693F81">
        <w:rPr>
          <w:rFonts w:cs="Arial"/>
          <w:szCs w:val="20"/>
        </w:rPr>
        <w:t>Transposition flaps</w:t>
      </w:r>
    </w:p>
    <w:p w14:paraId="6D3162E8" w14:textId="77777777" w:rsidR="000D3CF8" w:rsidRPr="00693F81" w:rsidRDefault="000D3CF8" w:rsidP="00693F81">
      <w:pPr>
        <w:pStyle w:val="ListParagraph"/>
        <w:numPr>
          <w:ilvl w:val="0"/>
          <w:numId w:val="4"/>
        </w:numPr>
        <w:spacing w:after="0" w:line="300" w:lineRule="exact"/>
        <w:contextualSpacing/>
        <w:rPr>
          <w:rFonts w:cs="Arial"/>
          <w:szCs w:val="20"/>
        </w:rPr>
      </w:pPr>
      <w:r w:rsidRPr="00693F81">
        <w:rPr>
          <w:rFonts w:cs="Arial"/>
          <w:szCs w:val="20"/>
        </w:rPr>
        <w:t>Wound management</w:t>
      </w:r>
    </w:p>
    <w:p w14:paraId="1AAC53EC"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Wound management products and their use</w:t>
      </w:r>
    </w:p>
    <w:p w14:paraId="31F0E21A" w14:textId="2D29C3DA" w:rsidR="00A44985" w:rsidRPr="00693F81" w:rsidRDefault="001E0413" w:rsidP="00693F81">
      <w:pPr>
        <w:pStyle w:val="ListParagraph"/>
        <w:numPr>
          <w:ilvl w:val="1"/>
          <w:numId w:val="4"/>
        </w:numPr>
        <w:spacing w:after="0" w:line="300" w:lineRule="exact"/>
        <w:contextualSpacing/>
        <w:rPr>
          <w:rFonts w:cs="Arial"/>
          <w:szCs w:val="20"/>
        </w:rPr>
      </w:pPr>
      <w:r w:rsidRPr="00693F81">
        <w:rPr>
          <w:rFonts w:cs="Arial"/>
          <w:szCs w:val="20"/>
        </w:rPr>
        <w:t>Use of surgical drains</w:t>
      </w:r>
    </w:p>
    <w:p w14:paraId="36ADB564" w14:textId="1A726079" w:rsidR="000D3CF8" w:rsidRPr="00693F81" w:rsidRDefault="000A5C36" w:rsidP="00693F81">
      <w:pPr>
        <w:pStyle w:val="ListParagraph"/>
        <w:numPr>
          <w:ilvl w:val="0"/>
          <w:numId w:val="4"/>
        </w:numPr>
        <w:spacing w:after="0" w:line="300" w:lineRule="exact"/>
        <w:contextualSpacing/>
        <w:rPr>
          <w:rFonts w:cs="Arial"/>
          <w:szCs w:val="20"/>
        </w:rPr>
      </w:pPr>
      <w:r w:rsidRPr="00693F81">
        <w:rPr>
          <w:rFonts w:cs="Arial"/>
          <w:szCs w:val="20"/>
        </w:rPr>
        <w:t>Principles and practice of l</w:t>
      </w:r>
      <w:r w:rsidR="000D3CF8" w:rsidRPr="00693F81">
        <w:rPr>
          <w:rFonts w:cs="Arial"/>
          <w:szCs w:val="20"/>
        </w:rPr>
        <w:t>aparoscopic</w:t>
      </w:r>
      <w:r w:rsidRPr="00693F81">
        <w:rPr>
          <w:rFonts w:cs="Arial"/>
          <w:szCs w:val="20"/>
        </w:rPr>
        <w:t xml:space="preserve"> surgery</w:t>
      </w:r>
    </w:p>
    <w:p w14:paraId="41149B37"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Equipment / set-up</w:t>
      </w:r>
    </w:p>
    <w:p w14:paraId="058952BC" w14:textId="3D7989C0"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How to establish a pneumoperitoneum</w:t>
      </w:r>
    </w:p>
    <w:p w14:paraId="0037B265" w14:textId="77777777" w:rsidR="000D3CF8"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Port placement</w:t>
      </w:r>
    </w:p>
    <w:p w14:paraId="29AC2172" w14:textId="58190E1A" w:rsidR="005A7F9B" w:rsidRPr="00693F81" w:rsidRDefault="000D3CF8" w:rsidP="00693F81">
      <w:pPr>
        <w:pStyle w:val="ListParagraph"/>
        <w:numPr>
          <w:ilvl w:val="1"/>
          <w:numId w:val="4"/>
        </w:numPr>
        <w:spacing w:after="0" w:line="300" w:lineRule="exact"/>
        <w:contextualSpacing/>
        <w:rPr>
          <w:rFonts w:cs="Arial"/>
          <w:szCs w:val="20"/>
        </w:rPr>
      </w:pPr>
      <w:r w:rsidRPr="00693F81">
        <w:rPr>
          <w:rFonts w:cs="Arial"/>
          <w:szCs w:val="20"/>
        </w:rPr>
        <w:t>Laparoscopic ovariectomy</w:t>
      </w:r>
    </w:p>
    <w:p w14:paraId="5B3D39F3" w14:textId="1D218305" w:rsidR="000D3CF8" w:rsidRPr="00693F81" w:rsidRDefault="000D3CF8" w:rsidP="00693F81">
      <w:pPr>
        <w:pStyle w:val="ListParagraph"/>
        <w:numPr>
          <w:ilvl w:val="0"/>
          <w:numId w:val="11"/>
        </w:numPr>
        <w:spacing w:after="0" w:line="300" w:lineRule="exact"/>
        <w:contextualSpacing/>
        <w:rPr>
          <w:rFonts w:cs="Arial"/>
          <w:szCs w:val="20"/>
        </w:rPr>
      </w:pPr>
      <w:r w:rsidRPr="00693F81">
        <w:rPr>
          <w:rFonts w:cs="Arial"/>
          <w:szCs w:val="20"/>
        </w:rPr>
        <w:t>Principles and practice of imaging in surgery</w:t>
      </w:r>
    </w:p>
    <w:p w14:paraId="56E5028E" w14:textId="77777777"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Conventional radiography</w:t>
      </w:r>
    </w:p>
    <w:p w14:paraId="2A9FF547" w14:textId="77777777"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Ultrasonography</w:t>
      </w:r>
    </w:p>
    <w:p w14:paraId="559169A7" w14:textId="77777777"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Computed tomography</w:t>
      </w:r>
    </w:p>
    <w:p w14:paraId="468F02BC" w14:textId="77777777"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Magnetic resonance imaging</w:t>
      </w:r>
    </w:p>
    <w:p w14:paraId="7768C2AE" w14:textId="77777777" w:rsidR="000D3CF8" w:rsidRPr="00693F81" w:rsidRDefault="000D3CF8" w:rsidP="00693F81">
      <w:pPr>
        <w:pStyle w:val="ListParagraph"/>
        <w:numPr>
          <w:ilvl w:val="0"/>
          <w:numId w:val="5"/>
        </w:numPr>
        <w:spacing w:after="0" w:line="300" w:lineRule="exact"/>
        <w:contextualSpacing/>
        <w:rPr>
          <w:rFonts w:cs="Arial"/>
          <w:szCs w:val="20"/>
        </w:rPr>
      </w:pPr>
      <w:r w:rsidRPr="00693F81">
        <w:rPr>
          <w:rFonts w:cs="Arial"/>
          <w:szCs w:val="20"/>
        </w:rPr>
        <w:t>Principles and practice of orthopaedic surgery</w:t>
      </w:r>
    </w:p>
    <w:p w14:paraId="09018BFE" w14:textId="77777777"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Draping</w:t>
      </w:r>
    </w:p>
    <w:p w14:paraId="1B644FA4" w14:textId="47ED3414"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Orthopaedic instrumentation</w:t>
      </w:r>
    </w:p>
    <w:p w14:paraId="37B17B85" w14:textId="010FA9C9" w:rsidR="000A5C36" w:rsidRPr="00693F81" w:rsidRDefault="000A5C36" w:rsidP="00693F81">
      <w:pPr>
        <w:pStyle w:val="ListParagraph"/>
        <w:numPr>
          <w:ilvl w:val="1"/>
          <w:numId w:val="5"/>
        </w:numPr>
        <w:spacing w:after="0" w:line="300" w:lineRule="exact"/>
        <w:contextualSpacing/>
        <w:rPr>
          <w:rFonts w:cs="Arial"/>
          <w:szCs w:val="20"/>
        </w:rPr>
      </w:pPr>
      <w:r w:rsidRPr="00693F81">
        <w:rPr>
          <w:rFonts w:cs="Arial"/>
          <w:szCs w:val="20"/>
        </w:rPr>
        <w:t>Investigative techniques in the lame animal other than imaging</w:t>
      </w:r>
    </w:p>
    <w:p w14:paraId="50F133C0" w14:textId="533DC621" w:rsidR="000A5C36" w:rsidRPr="00693F81" w:rsidRDefault="000A5C36" w:rsidP="00693F81">
      <w:pPr>
        <w:pStyle w:val="ListParagraph"/>
        <w:numPr>
          <w:ilvl w:val="2"/>
          <w:numId w:val="5"/>
        </w:numPr>
        <w:spacing w:after="0" w:line="300" w:lineRule="exact"/>
        <w:contextualSpacing/>
        <w:rPr>
          <w:rFonts w:cs="Arial"/>
          <w:szCs w:val="20"/>
        </w:rPr>
      </w:pPr>
      <w:r w:rsidRPr="00693F81">
        <w:rPr>
          <w:rFonts w:cs="Arial"/>
          <w:szCs w:val="20"/>
        </w:rPr>
        <w:t>Joint taps</w:t>
      </w:r>
    </w:p>
    <w:p w14:paraId="03E6C9CB" w14:textId="776F9DEB" w:rsidR="000A5C36" w:rsidRPr="00693F81" w:rsidRDefault="000A5C36" w:rsidP="00693F81">
      <w:pPr>
        <w:pStyle w:val="ListParagraph"/>
        <w:numPr>
          <w:ilvl w:val="2"/>
          <w:numId w:val="5"/>
        </w:numPr>
        <w:spacing w:after="0" w:line="300" w:lineRule="exact"/>
        <w:contextualSpacing/>
        <w:rPr>
          <w:rFonts w:cs="Arial"/>
          <w:szCs w:val="20"/>
        </w:rPr>
      </w:pPr>
      <w:r w:rsidRPr="00693F81">
        <w:rPr>
          <w:rFonts w:cs="Arial"/>
          <w:szCs w:val="20"/>
        </w:rPr>
        <w:t>Serology</w:t>
      </w:r>
    </w:p>
    <w:p w14:paraId="100A27B3" w14:textId="6C881126" w:rsidR="000A5C36" w:rsidRPr="00693F81" w:rsidRDefault="000A5C36" w:rsidP="00693F81">
      <w:pPr>
        <w:pStyle w:val="ListParagraph"/>
        <w:numPr>
          <w:ilvl w:val="2"/>
          <w:numId w:val="5"/>
        </w:numPr>
        <w:spacing w:after="0" w:line="300" w:lineRule="exact"/>
        <w:contextualSpacing/>
        <w:rPr>
          <w:rFonts w:cs="Arial"/>
          <w:szCs w:val="20"/>
        </w:rPr>
      </w:pPr>
      <w:r w:rsidRPr="00693F81">
        <w:rPr>
          <w:rFonts w:cs="Arial"/>
          <w:szCs w:val="20"/>
        </w:rPr>
        <w:t>Force plate and kinematic studies (principles only)</w:t>
      </w:r>
    </w:p>
    <w:p w14:paraId="6ECE6C4C" w14:textId="34D8E9CA" w:rsidR="000D3CF8" w:rsidRPr="00693F81" w:rsidRDefault="000D3CF8" w:rsidP="00693F81">
      <w:pPr>
        <w:pStyle w:val="ListParagraph"/>
        <w:numPr>
          <w:ilvl w:val="1"/>
          <w:numId w:val="5"/>
        </w:numPr>
        <w:spacing w:after="0" w:line="300" w:lineRule="exact"/>
        <w:contextualSpacing/>
        <w:rPr>
          <w:rFonts w:cs="Arial"/>
          <w:szCs w:val="20"/>
        </w:rPr>
      </w:pPr>
      <w:r w:rsidRPr="00693F81">
        <w:rPr>
          <w:rFonts w:cs="Arial"/>
          <w:szCs w:val="20"/>
        </w:rPr>
        <w:t>Arthrotomy</w:t>
      </w:r>
    </w:p>
    <w:p w14:paraId="001DA0CB" w14:textId="4CBC80F0" w:rsidR="000D3CF8" w:rsidRPr="00693F81" w:rsidRDefault="00AD0DFF" w:rsidP="00693F81">
      <w:pPr>
        <w:pStyle w:val="ListParagraph"/>
        <w:numPr>
          <w:ilvl w:val="1"/>
          <w:numId w:val="5"/>
        </w:numPr>
        <w:spacing w:after="0" w:line="300" w:lineRule="exact"/>
        <w:contextualSpacing/>
        <w:rPr>
          <w:rFonts w:cs="Arial"/>
          <w:szCs w:val="20"/>
        </w:rPr>
      </w:pPr>
      <w:r w:rsidRPr="00693F81">
        <w:rPr>
          <w:rFonts w:cs="Arial"/>
          <w:szCs w:val="20"/>
        </w:rPr>
        <w:t>Principles of f</w:t>
      </w:r>
      <w:r w:rsidR="000D3CF8" w:rsidRPr="00693F81">
        <w:rPr>
          <w:rFonts w:cs="Arial"/>
          <w:szCs w:val="20"/>
        </w:rPr>
        <w:t>racture</w:t>
      </w:r>
      <w:r w:rsidRPr="00693F81">
        <w:rPr>
          <w:rFonts w:cs="Arial"/>
          <w:szCs w:val="20"/>
        </w:rPr>
        <w:t xml:space="preserve"> management</w:t>
      </w:r>
      <w:r w:rsidR="000D3CF8" w:rsidRPr="00693F81">
        <w:rPr>
          <w:rFonts w:cs="Arial"/>
          <w:szCs w:val="20"/>
        </w:rPr>
        <w:t xml:space="preserve"> and fracture repair</w:t>
      </w:r>
    </w:p>
    <w:p w14:paraId="0BAE2A18" w14:textId="77777777" w:rsidR="000D3CF8" w:rsidRPr="00693F81" w:rsidRDefault="000D3CF8" w:rsidP="00693F81">
      <w:pPr>
        <w:pStyle w:val="ListParagraph"/>
        <w:numPr>
          <w:ilvl w:val="2"/>
          <w:numId w:val="5"/>
        </w:numPr>
        <w:spacing w:after="0" w:line="300" w:lineRule="exact"/>
        <w:contextualSpacing/>
        <w:rPr>
          <w:rFonts w:cs="Arial"/>
          <w:szCs w:val="20"/>
        </w:rPr>
      </w:pPr>
      <w:r w:rsidRPr="00693F81">
        <w:rPr>
          <w:rFonts w:cs="Arial"/>
          <w:szCs w:val="20"/>
        </w:rPr>
        <w:t>Fracture classification and description</w:t>
      </w:r>
    </w:p>
    <w:p w14:paraId="3391A3DA" w14:textId="77777777" w:rsidR="000D3CF8" w:rsidRPr="00693F81" w:rsidRDefault="000D3CF8" w:rsidP="00693F81">
      <w:pPr>
        <w:pStyle w:val="ListParagraph"/>
        <w:numPr>
          <w:ilvl w:val="2"/>
          <w:numId w:val="5"/>
        </w:numPr>
        <w:spacing w:after="0" w:line="300" w:lineRule="exact"/>
        <w:contextualSpacing/>
        <w:rPr>
          <w:rFonts w:cs="Arial"/>
          <w:szCs w:val="20"/>
        </w:rPr>
      </w:pPr>
      <w:r w:rsidRPr="00693F81">
        <w:rPr>
          <w:rFonts w:cs="Arial"/>
          <w:szCs w:val="20"/>
        </w:rPr>
        <w:t>Fracture healing</w:t>
      </w:r>
    </w:p>
    <w:p w14:paraId="7547AED6" w14:textId="5801ACA5" w:rsidR="000D3CF8" w:rsidRPr="00693F81" w:rsidRDefault="000D3CF8" w:rsidP="00693F81">
      <w:pPr>
        <w:pStyle w:val="ListParagraph"/>
        <w:numPr>
          <w:ilvl w:val="2"/>
          <w:numId w:val="5"/>
        </w:numPr>
        <w:spacing w:after="0" w:line="300" w:lineRule="exact"/>
        <w:contextualSpacing/>
        <w:rPr>
          <w:rFonts w:cs="Arial"/>
          <w:szCs w:val="20"/>
        </w:rPr>
      </w:pPr>
      <w:r w:rsidRPr="00693F81">
        <w:rPr>
          <w:rFonts w:cs="Arial"/>
          <w:szCs w:val="20"/>
        </w:rPr>
        <w:t>Principles of fracture management</w:t>
      </w:r>
    </w:p>
    <w:p w14:paraId="53490CB5" w14:textId="258FC4D1" w:rsidR="00AD0DFF" w:rsidRPr="00693F81" w:rsidRDefault="00AD0DFF" w:rsidP="00693F81">
      <w:pPr>
        <w:pStyle w:val="ListParagraph"/>
        <w:numPr>
          <w:ilvl w:val="3"/>
          <w:numId w:val="5"/>
        </w:numPr>
        <w:spacing w:after="0" w:line="300" w:lineRule="exact"/>
        <w:contextualSpacing/>
        <w:rPr>
          <w:rFonts w:cs="Arial"/>
          <w:szCs w:val="20"/>
        </w:rPr>
      </w:pPr>
      <w:r w:rsidRPr="00693F81">
        <w:rPr>
          <w:rFonts w:cs="Arial"/>
          <w:szCs w:val="20"/>
        </w:rPr>
        <w:t>Diaphyseal</w:t>
      </w:r>
    </w:p>
    <w:p w14:paraId="77C24B3D" w14:textId="5F942751" w:rsidR="00AD0DFF" w:rsidRPr="00693F81" w:rsidRDefault="00AD0DFF" w:rsidP="00693F81">
      <w:pPr>
        <w:pStyle w:val="ListParagraph"/>
        <w:numPr>
          <w:ilvl w:val="3"/>
          <w:numId w:val="5"/>
        </w:numPr>
        <w:spacing w:after="0" w:line="300" w:lineRule="exact"/>
        <w:contextualSpacing/>
        <w:rPr>
          <w:rFonts w:cs="Arial"/>
          <w:szCs w:val="20"/>
        </w:rPr>
      </w:pPr>
      <w:r w:rsidRPr="00693F81">
        <w:rPr>
          <w:rFonts w:cs="Arial"/>
          <w:szCs w:val="20"/>
        </w:rPr>
        <w:t xml:space="preserve">Articular </w:t>
      </w:r>
    </w:p>
    <w:p w14:paraId="51B532E7" w14:textId="22A58993" w:rsidR="00AD0DFF" w:rsidRPr="00693F81" w:rsidRDefault="00AD0DFF" w:rsidP="00693F81">
      <w:pPr>
        <w:pStyle w:val="ListParagraph"/>
        <w:numPr>
          <w:ilvl w:val="3"/>
          <w:numId w:val="5"/>
        </w:numPr>
        <w:spacing w:after="0" w:line="300" w:lineRule="exact"/>
        <w:contextualSpacing/>
        <w:rPr>
          <w:rFonts w:cs="Arial"/>
          <w:szCs w:val="20"/>
        </w:rPr>
      </w:pPr>
      <w:r w:rsidRPr="00693F81">
        <w:rPr>
          <w:rFonts w:cs="Arial"/>
          <w:szCs w:val="20"/>
        </w:rPr>
        <w:t>Skull/mandibular</w:t>
      </w:r>
    </w:p>
    <w:p w14:paraId="439B8D5E" w14:textId="3BF0231D" w:rsidR="00AD0DFF" w:rsidRPr="00693F81" w:rsidRDefault="00AD0DFF" w:rsidP="00693F81">
      <w:pPr>
        <w:pStyle w:val="ListParagraph"/>
        <w:numPr>
          <w:ilvl w:val="3"/>
          <w:numId w:val="5"/>
        </w:numPr>
        <w:spacing w:after="0" w:line="300" w:lineRule="exact"/>
        <w:contextualSpacing/>
        <w:rPr>
          <w:rFonts w:cs="Arial"/>
          <w:szCs w:val="20"/>
        </w:rPr>
      </w:pPr>
      <w:r w:rsidRPr="00693F81">
        <w:rPr>
          <w:rFonts w:cs="Arial"/>
          <w:szCs w:val="20"/>
        </w:rPr>
        <w:t xml:space="preserve">Pelvic </w:t>
      </w:r>
    </w:p>
    <w:p w14:paraId="5FBD80A0" w14:textId="5B889ABF" w:rsidR="00AD0DFF" w:rsidRPr="00693F81" w:rsidRDefault="00AD0DFF" w:rsidP="00693F81">
      <w:pPr>
        <w:pStyle w:val="ListParagraph"/>
        <w:numPr>
          <w:ilvl w:val="3"/>
          <w:numId w:val="5"/>
        </w:numPr>
        <w:spacing w:after="0" w:line="300" w:lineRule="exact"/>
        <w:contextualSpacing/>
        <w:rPr>
          <w:rFonts w:cs="Arial"/>
          <w:szCs w:val="20"/>
        </w:rPr>
      </w:pPr>
      <w:r w:rsidRPr="00693F81">
        <w:rPr>
          <w:rFonts w:cs="Arial"/>
          <w:szCs w:val="20"/>
        </w:rPr>
        <w:t xml:space="preserve">Spinal </w:t>
      </w:r>
    </w:p>
    <w:p w14:paraId="7332F7C2" w14:textId="42920A3A" w:rsidR="00AD0DFF" w:rsidRPr="00693F81" w:rsidRDefault="00AD0DFF" w:rsidP="00693F81">
      <w:pPr>
        <w:pStyle w:val="ListParagraph"/>
        <w:numPr>
          <w:ilvl w:val="2"/>
          <w:numId w:val="5"/>
        </w:numPr>
        <w:spacing w:after="0" w:line="300" w:lineRule="exact"/>
        <w:contextualSpacing/>
        <w:rPr>
          <w:rFonts w:cs="Arial"/>
          <w:szCs w:val="20"/>
        </w:rPr>
      </w:pPr>
      <w:r w:rsidRPr="00693F81">
        <w:rPr>
          <w:rFonts w:cs="Arial"/>
          <w:szCs w:val="20"/>
        </w:rPr>
        <w:t>Implant types and indications</w:t>
      </w:r>
    </w:p>
    <w:p w14:paraId="3B5231C2" w14:textId="77777777" w:rsidR="00693F81" w:rsidRDefault="00693F81" w:rsidP="00693F81">
      <w:pPr>
        <w:pStyle w:val="RCVSBullet1"/>
        <w:numPr>
          <w:ilvl w:val="0"/>
          <w:numId w:val="0"/>
        </w:numPr>
        <w:spacing w:after="0"/>
        <w:rPr>
          <w:rFonts w:ascii="Arial" w:hAnsi="Arial" w:cs="Arial"/>
          <w:b/>
          <w:sz w:val="20"/>
        </w:rPr>
      </w:pPr>
    </w:p>
    <w:p w14:paraId="39F95FB2" w14:textId="0FD6B7B4" w:rsidR="00BB52AE" w:rsidRDefault="00BB52AE" w:rsidP="00693F81">
      <w:pPr>
        <w:pStyle w:val="RCVSBullet1"/>
        <w:numPr>
          <w:ilvl w:val="0"/>
          <w:numId w:val="0"/>
        </w:numPr>
        <w:spacing w:after="0"/>
        <w:rPr>
          <w:rFonts w:ascii="Arial" w:hAnsi="Arial" w:cs="Arial"/>
          <w:b/>
          <w:sz w:val="20"/>
        </w:rPr>
      </w:pPr>
      <w:r w:rsidRPr="00693F81">
        <w:rPr>
          <w:rFonts w:ascii="Arial" w:hAnsi="Arial" w:cs="Arial"/>
          <w:b/>
          <w:sz w:val="20"/>
        </w:rPr>
        <w:lastRenderedPageBreak/>
        <w:t>ASSESSMENT STRATEGY FOR THE MODULE</w:t>
      </w:r>
    </w:p>
    <w:p w14:paraId="0A6945C3" w14:textId="30CB71D9" w:rsidR="00F11332" w:rsidRPr="00693F81" w:rsidRDefault="00BB52AE" w:rsidP="00693F81">
      <w:pPr>
        <w:spacing w:after="0" w:line="300" w:lineRule="exact"/>
        <w:rPr>
          <w:rFonts w:cs="Arial"/>
          <w:i/>
          <w:iCs/>
          <w:szCs w:val="20"/>
        </w:rPr>
      </w:pPr>
      <w:r w:rsidRPr="00693F81">
        <w:rPr>
          <w:rFonts w:cs="Arial"/>
          <w:i/>
          <w:iCs/>
          <w:szCs w:val="20"/>
        </w:rPr>
        <w:t xml:space="preserve">It is suggested that this module could be assessed by the following methods:  </w:t>
      </w:r>
    </w:p>
    <w:p w14:paraId="07DB58F1" w14:textId="77777777" w:rsidR="00BB52AE" w:rsidRPr="00693F81" w:rsidRDefault="00BB52AE" w:rsidP="00693F81">
      <w:pPr>
        <w:spacing w:after="0" w:line="300" w:lineRule="exact"/>
        <w:rPr>
          <w:rFonts w:cs="Arial"/>
          <w:b/>
          <w:szCs w:val="20"/>
        </w:rPr>
      </w:pPr>
    </w:p>
    <w:tbl>
      <w:tblPr>
        <w:tblStyle w:val="TableGrid"/>
        <w:tblW w:w="0" w:type="auto"/>
        <w:tblLook w:val="04A0" w:firstRow="1" w:lastRow="0" w:firstColumn="1" w:lastColumn="0" w:noHBand="0" w:noVBand="1"/>
      </w:tblPr>
      <w:tblGrid>
        <w:gridCol w:w="1838"/>
        <w:gridCol w:w="7088"/>
      </w:tblGrid>
      <w:tr w:rsidR="00F11332" w:rsidRPr="00693F81" w14:paraId="07220409" w14:textId="77777777" w:rsidTr="007761C6">
        <w:tc>
          <w:tcPr>
            <w:tcW w:w="1838" w:type="dxa"/>
          </w:tcPr>
          <w:p w14:paraId="0ACC41F2" w14:textId="77777777" w:rsidR="00F11332" w:rsidRPr="00693F81" w:rsidRDefault="00F11332" w:rsidP="00693F81">
            <w:pPr>
              <w:spacing w:after="0" w:line="300" w:lineRule="exact"/>
              <w:rPr>
                <w:rFonts w:cs="Arial"/>
                <w:szCs w:val="20"/>
              </w:rPr>
            </w:pPr>
            <w:r w:rsidRPr="00693F81">
              <w:rPr>
                <w:rFonts w:cs="Arial"/>
                <w:szCs w:val="20"/>
              </w:rPr>
              <w:t>Portfolio element</w:t>
            </w:r>
          </w:p>
        </w:tc>
        <w:tc>
          <w:tcPr>
            <w:tcW w:w="7088" w:type="dxa"/>
          </w:tcPr>
          <w:p w14:paraId="590A9C7B" w14:textId="77777777" w:rsidR="00F11332" w:rsidRPr="00693F81" w:rsidRDefault="00F11332" w:rsidP="00693F81">
            <w:pPr>
              <w:spacing w:after="0" w:line="300" w:lineRule="exact"/>
              <w:rPr>
                <w:rFonts w:cs="Arial"/>
                <w:szCs w:val="20"/>
              </w:rPr>
            </w:pPr>
            <w:r w:rsidRPr="00693F81">
              <w:rPr>
                <w:rFonts w:cs="Arial"/>
                <w:szCs w:val="20"/>
              </w:rPr>
              <w:t>Notes</w:t>
            </w:r>
          </w:p>
        </w:tc>
      </w:tr>
      <w:tr w:rsidR="00F11332" w:rsidRPr="00693F81" w14:paraId="4C3BE90C" w14:textId="77777777" w:rsidTr="007761C6">
        <w:tc>
          <w:tcPr>
            <w:tcW w:w="1838" w:type="dxa"/>
          </w:tcPr>
          <w:p w14:paraId="3F018F95" w14:textId="77777777" w:rsidR="00F11332" w:rsidRPr="00693F81" w:rsidRDefault="00F11332" w:rsidP="00693F81">
            <w:pPr>
              <w:spacing w:after="0" w:line="300" w:lineRule="exact"/>
              <w:rPr>
                <w:rFonts w:cs="Arial"/>
                <w:szCs w:val="20"/>
              </w:rPr>
            </w:pPr>
            <w:r w:rsidRPr="00693F81">
              <w:rPr>
                <w:rFonts w:cs="Arial"/>
                <w:szCs w:val="20"/>
              </w:rPr>
              <w:t>Chronological case log</w:t>
            </w:r>
          </w:p>
          <w:p w14:paraId="39EE1774" w14:textId="77777777" w:rsidR="00F11332" w:rsidRPr="00693F81" w:rsidRDefault="00F11332" w:rsidP="00693F81">
            <w:pPr>
              <w:spacing w:after="0" w:line="300" w:lineRule="exact"/>
              <w:rPr>
                <w:rFonts w:cs="Arial"/>
                <w:szCs w:val="20"/>
              </w:rPr>
            </w:pPr>
            <w:r w:rsidRPr="00693F81">
              <w:rPr>
                <w:rFonts w:cs="Arial"/>
                <w:szCs w:val="20"/>
              </w:rPr>
              <w:t>(20 cases)</w:t>
            </w:r>
          </w:p>
        </w:tc>
        <w:tc>
          <w:tcPr>
            <w:tcW w:w="7088" w:type="dxa"/>
          </w:tcPr>
          <w:p w14:paraId="7E068C30" w14:textId="6052D7C6" w:rsidR="00F11332" w:rsidRPr="00693F81" w:rsidRDefault="00F11332" w:rsidP="00693F81">
            <w:pPr>
              <w:pStyle w:val="ListParagraph"/>
              <w:numPr>
                <w:ilvl w:val="0"/>
                <w:numId w:val="7"/>
              </w:numPr>
              <w:spacing w:after="0" w:line="300" w:lineRule="exact"/>
              <w:contextualSpacing/>
              <w:rPr>
                <w:rFonts w:eastAsia="Arial" w:cs="Arial"/>
                <w:szCs w:val="20"/>
              </w:rPr>
            </w:pPr>
            <w:r w:rsidRPr="00693F81">
              <w:rPr>
                <w:rFonts w:eastAsia="Arial" w:cs="Arial"/>
                <w:szCs w:val="20"/>
              </w:rPr>
              <w:t>Relevant cases recorded to demonstrate continual engagement with the area of practice throughout the module</w:t>
            </w:r>
            <w:r w:rsidR="00D20BC5" w:rsidRPr="00693F81">
              <w:rPr>
                <w:rFonts w:eastAsia="Arial" w:cs="Arial"/>
                <w:szCs w:val="20"/>
              </w:rPr>
              <w:t>.</w:t>
            </w:r>
          </w:p>
          <w:p w14:paraId="5C3CFF7A" w14:textId="652CBF90" w:rsidR="00F11332" w:rsidRPr="00693F81" w:rsidRDefault="00F11332" w:rsidP="00693F81">
            <w:pPr>
              <w:pStyle w:val="ListParagraph"/>
              <w:numPr>
                <w:ilvl w:val="0"/>
                <w:numId w:val="7"/>
              </w:numPr>
              <w:spacing w:after="0" w:line="300" w:lineRule="exact"/>
              <w:contextualSpacing/>
              <w:rPr>
                <w:rFonts w:eastAsia="Arial" w:cs="Arial"/>
                <w:szCs w:val="20"/>
              </w:rPr>
            </w:pPr>
            <w:r w:rsidRPr="00693F81">
              <w:rPr>
                <w:rFonts w:eastAsia="Arial" w:cs="Arial"/>
                <w:szCs w:val="20"/>
              </w:rPr>
              <w:t>Cases to demonstrate breadth of understanding within the subject area and how the majority of module learning outcomes have been addressed</w:t>
            </w:r>
            <w:r w:rsidR="00D20BC5" w:rsidRPr="00693F81">
              <w:rPr>
                <w:rFonts w:eastAsia="Arial" w:cs="Arial"/>
                <w:szCs w:val="20"/>
              </w:rPr>
              <w:t>.</w:t>
            </w:r>
          </w:p>
          <w:p w14:paraId="2B21D6D8" w14:textId="00BDE217" w:rsidR="00F11332" w:rsidRPr="00693F81" w:rsidRDefault="00F11332" w:rsidP="00693F81">
            <w:pPr>
              <w:pStyle w:val="ListParagraph"/>
              <w:numPr>
                <w:ilvl w:val="0"/>
                <w:numId w:val="7"/>
              </w:numPr>
              <w:spacing w:after="0" w:line="300" w:lineRule="exact"/>
              <w:contextualSpacing/>
              <w:rPr>
                <w:rFonts w:eastAsia="Arial" w:cs="Arial"/>
                <w:szCs w:val="20"/>
              </w:rPr>
            </w:pPr>
            <w:r w:rsidRPr="00693F81">
              <w:rPr>
                <w:rFonts w:eastAsia="Arial" w:cs="Arial"/>
                <w:szCs w:val="20"/>
              </w:rPr>
              <w:t>Content should be factually accurate, with appropriate and justified case outcomes</w:t>
            </w:r>
            <w:r w:rsidR="00D20BC5" w:rsidRPr="00693F81">
              <w:rPr>
                <w:rFonts w:eastAsia="Arial" w:cs="Arial"/>
                <w:szCs w:val="20"/>
              </w:rPr>
              <w:t>.</w:t>
            </w:r>
          </w:p>
        </w:tc>
      </w:tr>
      <w:tr w:rsidR="00F11332" w:rsidRPr="00693F81" w14:paraId="04873380" w14:textId="77777777" w:rsidTr="007761C6">
        <w:tc>
          <w:tcPr>
            <w:tcW w:w="1838" w:type="dxa"/>
          </w:tcPr>
          <w:p w14:paraId="31683D43" w14:textId="77777777" w:rsidR="00F11332" w:rsidRPr="00693F81" w:rsidRDefault="00F11332" w:rsidP="00693F81">
            <w:pPr>
              <w:spacing w:after="0" w:line="300" w:lineRule="exact"/>
              <w:rPr>
                <w:rFonts w:cs="Arial"/>
                <w:szCs w:val="20"/>
              </w:rPr>
            </w:pPr>
            <w:r w:rsidRPr="00693F81">
              <w:rPr>
                <w:rFonts w:cs="Arial"/>
                <w:szCs w:val="20"/>
              </w:rPr>
              <w:t xml:space="preserve">Skills audit and reflection </w:t>
            </w:r>
          </w:p>
          <w:p w14:paraId="07030D42" w14:textId="77777777" w:rsidR="00F11332" w:rsidRPr="00693F81" w:rsidRDefault="00F11332" w:rsidP="00693F81">
            <w:pPr>
              <w:spacing w:after="0" w:line="300" w:lineRule="exact"/>
              <w:rPr>
                <w:rFonts w:cs="Arial"/>
                <w:szCs w:val="20"/>
              </w:rPr>
            </w:pPr>
            <w:r w:rsidRPr="00693F81">
              <w:rPr>
                <w:rFonts w:cs="Arial"/>
                <w:szCs w:val="20"/>
              </w:rPr>
              <w:t>(800-1000 words)</w:t>
            </w:r>
          </w:p>
        </w:tc>
        <w:tc>
          <w:tcPr>
            <w:tcW w:w="7088" w:type="dxa"/>
          </w:tcPr>
          <w:p w14:paraId="1B204F42" w14:textId="77777777" w:rsidR="00F11332" w:rsidRPr="00693F81" w:rsidRDefault="00F11332" w:rsidP="00693F81">
            <w:pPr>
              <w:pStyle w:val="ListParagraph"/>
              <w:numPr>
                <w:ilvl w:val="0"/>
                <w:numId w:val="6"/>
              </w:numPr>
              <w:spacing w:after="0" w:line="300" w:lineRule="exact"/>
              <w:contextualSpacing/>
              <w:rPr>
                <w:rFonts w:eastAsia="Arial" w:cs="Arial"/>
                <w:szCs w:val="20"/>
              </w:rPr>
            </w:pPr>
            <w:r w:rsidRPr="00693F81">
              <w:rPr>
                <w:rFonts w:eastAsia="Arial" w:cs="Arial"/>
                <w:szCs w:val="20"/>
              </w:rPr>
              <w:t>Candidates to perform a skills audit at the start of the module, reflecting on their current clinical competence and establishing personal learning objectives by identifying at least 5 skills relevant to the subject area they would like to target.  These skills should be graded from 1 (weak) to 5 (strong).</w:t>
            </w:r>
          </w:p>
          <w:p w14:paraId="418D45E2" w14:textId="77777777" w:rsidR="00F11332" w:rsidRPr="00693F81" w:rsidRDefault="00F11332" w:rsidP="00693F81">
            <w:pPr>
              <w:pStyle w:val="ListParagraph"/>
              <w:numPr>
                <w:ilvl w:val="0"/>
                <w:numId w:val="6"/>
              </w:numPr>
              <w:spacing w:after="0" w:line="300" w:lineRule="exact"/>
              <w:contextualSpacing/>
              <w:rPr>
                <w:rFonts w:eastAsia="Arial" w:cs="Arial"/>
                <w:szCs w:val="20"/>
              </w:rPr>
            </w:pPr>
            <w:r w:rsidRPr="00693F81">
              <w:rPr>
                <w:rFonts w:eastAsia="Arial" w:cs="Arial"/>
                <w:szCs w:val="20"/>
              </w:rPr>
              <w:t xml:space="preserve">At the end of the module, these skills should be graded </w:t>
            </w:r>
            <w:proofErr w:type="gramStart"/>
            <w:r w:rsidRPr="00693F81">
              <w:rPr>
                <w:rFonts w:eastAsia="Arial" w:cs="Arial"/>
                <w:szCs w:val="20"/>
              </w:rPr>
              <w:t>again</w:t>
            </w:r>
            <w:proofErr w:type="gramEnd"/>
            <w:r w:rsidRPr="00693F81">
              <w:rPr>
                <w:rFonts w:eastAsia="Arial" w:cs="Arial"/>
                <w:szCs w:val="20"/>
              </w:rPr>
              <w:t xml:space="preserve"> and the candidate should reflect on their development during the module.  If skills haven’t improved, they should consider why not and demonstrate a clear plan to continue clinical progress in this area.</w:t>
            </w:r>
          </w:p>
          <w:p w14:paraId="63BEBDB3" w14:textId="77777777" w:rsidR="00F11332" w:rsidRPr="00693F81" w:rsidRDefault="00F11332" w:rsidP="00693F81">
            <w:pPr>
              <w:pStyle w:val="ListParagraph"/>
              <w:numPr>
                <w:ilvl w:val="0"/>
                <w:numId w:val="6"/>
              </w:numPr>
              <w:spacing w:after="0" w:line="300" w:lineRule="exact"/>
              <w:contextualSpacing/>
              <w:rPr>
                <w:rFonts w:eastAsia="Arial" w:cs="Arial"/>
                <w:szCs w:val="20"/>
              </w:rPr>
            </w:pPr>
            <w:r w:rsidRPr="00693F81">
              <w:rPr>
                <w:rFonts w:eastAsia="Arial" w:cs="Arial"/>
                <w:szCs w:val="20"/>
              </w:rPr>
              <w:t>Candidates should reflect critically on their case log, providing evidence of their learning within the subject area, and their professional development in the context of their own working environment.</w:t>
            </w:r>
          </w:p>
          <w:p w14:paraId="27806AA0" w14:textId="77777777" w:rsidR="00F11332" w:rsidRPr="00693F81" w:rsidRDefault="00F11332" w:rsidP="00693F81">
            <w:pPr>
              <w:pStyle w:val="ListParagraph"/>
              <w:numPr>
                <w:ilvl w:val="0"/>
                <w:numId w:val="6"/>
              </w:numPr>
              <w:spacing w:after="0" w:line="300" w:lineRule="exact"/>
              <w:contextualSpacing/>
              <w:rPr>
                <w:rFonts w:eastAsia="Arial" w:cs="Arial"/>
                <w:szCs w:val="20"/>
              </w:rPr>
            </w:pPr>
            <w:r w:rsidRPr="00693F81">
              <w:rPr>
                <w:rFonts w:eastAsia="Arial" w:cs="Arial"/>
                <w:szCs w:val="20"/>
              </w:rPr>
              <w:t>Candidates should demonstrate an ability to reflect on broader areas and concepts relevant to the profession and subject matter.</w:t>
            </w:r>
          </w:p>
        </w:tc>
      </w:tr>
      <w:tr w:rsidR="00F11332" w:rsidRPr="00693F81" w14:paraId="26E6BB1E" w14:textId="77777777" w:rsidTr="007761C6">
        <w:tc>
          <w:tcPr>
            <w:tcW w:w="1838" w:type="dxa"/>
          </w:tcPr>
          <w:p w14:paraId="51CF71E4" w14:textId="77777777" w:rsidR="00F11332" w:rsidRPr="00693F81" w:rsidRDefault="00F11332" w:rsidP="00693F81">
            <w:pPr>
              <w:spacing w:after="0" w:line="300" w:lineRule="exact"/>
              <w:rPr>
                <w:rFonts w:cs="Arial"/>
                <w:szCs w:val="20"/>
              </w:rPr>
            </w:pPr>
            <w:r w:rsidRPr="00693F81">
              <w:rPr>
                <w:rFonts w:cs="Arial"/>
                <w:szCs w:val="20"/>
              </w:rPr>
              <w:t>Case reports (1500 words each excluding references)</w:t>
            </w:r>
          </w:p>
        </w:tc>
        <w:tc>
          <w:tcPr>
            <w:tcW w:w="7088" w:type="dxa"/>
          </w:tcPr>
          <w:p w14:paraId="1E51211B" w14:textId="0F97399E" w:rsidR="00F11332" w:rsidRPr="00693F81" w:rsidRDefault="00F11332" w:rsidP="00693F81">
            <w:pPr>
              <w:pStyle w:val="ListParagraph"/>
              <w:numPr>
                <w:ilvl w:val="0"/>
                <w:numId w:val="8"/>
              </w:numPr>
              <w:spacing w:after="0" w:line="300" w:lineRule="exact"/>
              <w:contextualSpacing/>
              <w:textAlignment w:val="baseline"/>
              <w:rPr>
                <w:rFonts w:cs="Arial"/>
                <w:szCs w:val="20"/>
                <w:lang w:eastAsia="en-GB"/>
              </w:rPr>
            </w:pPr>
            <w:r w:rsidRPr="00693F81">
              <w:rPr>
                <w:rFonts w:cs="Arial"/>
                <w:szCs w:val="20"/>
                <w:lang w:eastAsia="en-GB"/>
              </w:rPr>
              <w:t xml:space="preserve">Candidates to select two cases </w:t>
            </w:r>
            <w:r w:rsidR="00D20BC5" w:rsidRPr="00693F81">
              <w:rPr>
                <w:rFonts w:cs="Arial"/>
                <w:szCs w:val="20"/>
                <w:lang w:eastAsia="en-GB"/>
              </w:rPr>
              <w:t xml:space="preserve">(one orthopaedic and one soft tissue) </w:t>
            </w:r>
            <w:r w:rsidRPr="00693F81">
              <w:rPr>
                <w:rFonts w:cs="Arial"/>
                <w:szCs w:val="20"/>
                <w:lang w:eastAsia="en-GB"/>
              </w:rPr>
              <w:t>to write as a detailed case report</w:t>
            </w:r>
            <w:r w:rsidR="00D20BC5" w:rsidRPr="00693F81">
              <w:rPr>
                <w:rFonts w:cs="Arial"/>
                <w:szCs w:val="20"/>
                <w:lang w:eastAsia="en-GB"/>
              </w:rPr>
              <w:t>.</w:t>
            </w:r>
          </w:p>
          <w:p w14:paraId="296FC427" w14:textId="77777777" w:rsidR="00F11332" w:rsidRPr="00693F81" w:rsidRDefault="00F11332" w:rsidP="00693F81">
            <w:pPr>
              <w:pStyle w:val="ListParagraph"/>
              <w:numPr>
                <w:ilvl w:val="0"/>
                <w:numId w:val="8"/>
              </w:numPr>
              <w:spacing w:after="0" w:line="300" w:lineRule="exact"/>
              <w:contextualSpacing/>
              <w:textAlignment w:val="baseline"/>
              <w:rPr>
                <w:rFonts w:cs="Arial"/>
                <w:szCs w:val="20"/>
                <w:lang w:eastAsia="en-GB"/>
              </w:rPr>
            </w:pPr>
            <w:r w:rsidRPr="00693F81">
              <w:rPr>
                <w:rFonts w:cs="Arial"/>
                <w:szCs w:val="20"/>
                <w:lang w:eastAsia="en-GB"/>
              </w:rPr>
              <w:t>Cases to have a clear and coherent structure, including where relevant, signalment, case presentation, problem list and differential diagnoses, investigations, diagnosis, case management and outcome/follow up.</w:t>
            </w:r>
          </w:p>
          <w:p w14:paraId="3FC4E09D" w14:textId="77777777" w:rsidR="00F11332" w:rsidRPr="00693F81" w:rsidRDefault="00F11332" w:rsidP="00693F81">
            <w:pPr>
              <w:pStyle w:val="ListParagraph"/>
              <w:numPr>
                <w:ilvl w:val="0"/>
                <w:numId w:val="8"/>
              </w:numPr>
              <w:spacing w:after="0" w:line="300" w:lineRule="exact"/>
              <w:contextualSpacing/>
              <w:textAlignment w:val="baseline"/>
              <w:rPr>
                <w:rFonts w:cs="Arial"/>
                <w:szCs w:val="20"/>
                <w:lang w:eastAsia="en-GB"/>
              </w:rPr>
            </w:pPr>
            <w:r w:rsidRPr="00693F81">
              <w:rPr>
                <w:rFonts w:cs="Arial"/>
                <w:szCs w:val="20"/>
                <w:lang w:eastAsia="en-GB"/>
              </w:rPr>
              <w:t>All cases to include a discussion with appropriate referencing.  Critique of evidence referred to should also be included.</w:t>
            </w:r>
          </w:p>
          <w:p w14:paraId="7EE9B5B5" w14:textId="77777777" w:rsidR="00F11332" w:rsidRPr="00693F81" w:rsidRDefault="00F11332" w:rsidP="00693F81">
            <w:pPr>
              <w:pStyle w:val="ListParagraph"/>
              <w:numPr>
                <w:ilvl w:val="0"/>
                <w:numId w:val="8"/>
              </w:numPr>
              <w:spacing w:after="0" w:line="300" w:lineRule="exact"/>
              <w:contextualSpacing/>
              <w:textAlignment w:val="baseline"/>
              <w:rPr>
                <w:rFonts w:cs="Arial"/>
                <w:szCs w:val="20"/>
                <w:lang w:eastAsia="en-GB"/>
              </w:rPr>
            </w:pPr>
            <w:r w:rsidRPr="00693F81">
              <w:rPr>
                <w:rFonts w:cs="Arial"/>
                <w:szCs w:val="20"/>
                <w:lang w:eastAsia="en-GB"/>
              </w:rPr>
              <w:t>All cases to include a reflective element, so that areas of learning and professional development are clearly evident.</w:t>
            </w:r>
          </w:p>
          <w:p w14:paraId="66ECD650" w14:textId="77777777" w:rsidR="00F11332" w:rsidRPr="00693F81" w:rsidRDefault="00F11332" w:rsidP="00693F81">
            <w:pPr>
              <w:pStyle w:val="ListParagraph"/>
              <w:numPr>
                <w:ilvl w:val="0"/>
                <w:numId w:val="8"/>
              </w:numPr>
              <w:spacing w:after="0" w:line="300" w:lineRule="exact"/>
              <w:contextualSpacing/>
              <w:textAlignment w:val="baseline"/>
              <w:rPr>
                <w:rFonts w:cs="Arial"/>
                <w:szCs w:val="20"/>
                <w:lang w:eastAsia="en-GB"/>
              </w:rPr>
            </w:pPr>
            <w:r w:rsidRPr="00693F81">
              <w:rPr>
                <w:rFonts w:cs="Arial"/>
                <w:szCs w:val="20"/>
                <w:lang w:eastAsia="en-GB"/>
              </w:rPr>
              <w:t>Cases will demonstrate factually accurate content and be of sufficient depth of knowledge to demonstrate attainment of the core skills and achievement of the relevant module learning outcomes. </w:t>
            </w:r>
          </w:p>
        </w:tc>
      </w:tr>
      <w:tr w:rsidR="00F11332" w:rsidRPr="00693F81" w14:paraId="154CBE59" w14:textId="77777777" w:rsidTr="007761C6">
        <w:tc>
          <w:tcPr>
            <w:tcW w:w="1838" w:type="dxa"/>
          </w:tcPr>
          <w:p w14:paraId="7CA531A1" w14:textId="77777777" w:rsidR="00F11332" w:rsidRPr="00693F81" w:rsidRDefault="00F11332" w:rsidP="00693F81">
            <w:pPr>
              <w:spacing w:after="0" w:line="300" w:lineRule="exact"/>
              <w:rPr>
                <w:rFonts w:cs="Arial"/>
                <w:szCs w:val="20"/>
              </w:rPr>
            </w:pPr>
            <w:r w:rsidRPr="00693F81">
              <w:rPr>
                <w:rFonts w:cs="Arial"/>
                <w:szCs w:val="20"/>
              </w:rPr>
              <w:t>Journal review</w:t>
            </w:r>
          </w:p>
        </w:tc>
        <w:tc>
          <w:tcPr>
            <w:tcW w:w="7088" w:type="dxa"/>
          </w:tcPr>
          <w:p w14:paraId="686DF57B" w14:textId="77777777" w:rsidR="00F11332" w:rsidRPr="00693F81" w:rsidRDefault="00F11332" w:rsidP="00693F81">
            <w:pPr>
              <w:pStyle w:val="ListParagraph"/>
              <w:numPr>
                <w:ilvl w:val="0"/>
                <w:numId w:val="9"/>
              </w:numPr>
              <w:spacing w:after="0" w:line="300" w:lineRule="exact"/>
              <w:contextualSpacing/>
              <w:rPr>
                <w:rFonts w:cs="Arial"/>
                <w:szCs w:val="20"/>
              </w:rPr>
            </w:pPr>
            <w:r w:rsidRPr="00693F81">
              <w:rPr>
                <w:rFonts w:cs="Arial"/>
                <w:szCs w:val="20"/>
              </w:rPr>
              <w:t xml:space="preserve">A critical review of a published paper relating to the relevant discipline, comprising an oral presentation and a </w:t>
            </w:r>
            <w:proofErr w:type="gramStart"/>
            <w:r w:rsidRPr="00693F81">
              <w:rPr>
                <w:rFonts w:cs="Arial"/>
                <w:szCs w:val="20"/>
              </w:rPr>
              <w:t>short written</w:t>
            </w:r>
            <w:proofErr w:type="gramEnd"/>
            <w:r w:rsidRPr="00693F81">
              <w:rPr>
                <w:rFonts w:cs="Arial"/>
                <w:szCs w:val="20"/>
              </w:rPr>
              <w:t xml:space="preserve"> submission.</w:t>
            </w:r>
          </w:p>
          <w:p w14:paraId="5D6F6399" w14:textId="378A0AC9" w:rsidR="00F11332" w:rsidRPr="00693F81" w:rsidRDefault="00F11332" w:rsidP="00693F81">
            <w:pPr>
              <w:pStyle w:val="ListParagraph"/>
              <w:numPr>
                <w:ilvl w:val="0"/>
                <w:numId w:val="9"/>
              </w:numPr>
              <w:spacing w:after="0" w:line="300" w:lineRule="exact"/>
              <w:contextualSpacing/>
              <w:rPr>
                <w:rFonts w:cs="Arial"/>
                <w:szCs w:val="20"/>
              </w:rPr>
            </w:pPr>
            <w:r w:rsidRPr="00693F81">
              <w:rPr>
                <w:rFonts w:cs="Arial"/>
                <w:szCs w:val="20"/>
              </w:rPr>
              <w:t>The critique should enable the candidate to determine the paper’s relevance to their practice</w:t>
            </w:r>
            <w:r w:rsidR="00D20BC5" w:rsidRPr="00693F81">
              <w:rPr>
                <w:rFonts w:cs="Arial"/>
                <w:szCs w:val="20"/>
              </w:rPr>
              <w:t>.</w:t>
            </w:r>
          </w:p>
        </w:tc>
      </w:tr>
    </w:tbl>
    <w:p w14:paraId="7A7F970A" w14:textId="77777777" w:rsidR="000D3CF8" w:rsidRPr="00693F81" w:rsidRDefault="000D3CF8" w:rsidP="00693F81">
      <w:pPr>
        <w:spacing w:after="0" w:line="300" w:lineRule="exact"/>
        <w:rPr>
          <w:rFonts w:cs="Arial"/>
          <w:szCs w:val="20"/>
        </w:rPr>
      </w:pPr>
    </w:p>
    <w:sectPr w:rsidR="000D3CF8" w:rsidRPr="00693F81" w:rsidSect="00A07663">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2CEE" w14:textId="77777777" w:rsidR="00F35ADD" w:rsidRDefault="00F35ADD">
      <w:pPr>
        <w:spacing w:after="0" w:line="240" w:lineRule="auto"/>
      </w:pPr>
      <w:r>
        <w:separator/>
      </w:r>
    </w:p>
  </w:endnote>
  <w:endnote w:type="continuationSeparator" w:id="0">
    <w:p w14:paraId="5E7934AD" w14:textId="77777777" w:rsidR="00F35ADD" w:rsidRDefault="00F3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73D0" w14:textId="6A990B7A" w:rsidR="00E259E4" w:rsidRDefault="00693F81" w:rsidP="00820F23">
    <w:pPr>
      <w:pStyle w:val="Footer"/>
    </w:pPr>
    <w:r>
      <w:t>November 202</w:t>
    </w:r>
    <w:r w:rsidR="00235711">
      <w:t>2</w:t>
    </w:r>
    <w:r>
      <w:tab/>
    </w:r>
    <w:r>
      <w:tab/>
    </w:r>
    <w:r w:rsidR="000056AC">
      <w:fldChar w:fldCharType="begin"/>
    </w:r>
    <w:r w:rsidR="000056AC">
      <w:instrText xml:space="preserve"> PAGE   \* MERGEFORMAT </w:instrText>
    </w:r>
    <w:r w:rsidR="000056AC">
      <w:fldChar w:fldCharType="separate"/>
    </w:r>
    <w:r w:rsidR="00D53DFA">
      <w:rPr>
        <w:noProof/>
      </w:rPr>
      <w:t>2</w:t>
    </w:r>
    <w:r w:rsidR="000056AC">
      <w:fldChar w:fldCharType="end"/>
    </w:r>
  </w:p>
  <w:p w14:paraId="6F10B087" w14:textId="77777777" w:rsidR="00E259E4" w:rsidRPr="00E2345F" w:rsidRDefault="00235711" w:rsidP="00EF4526">
    <w:pPr>
      <w:pStyle w:val="Footer"/>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8BB3" w14:textId="77777777" w:rsidR="00F35ADD" w:rsidRDefault="00F35ADD">
      <w:pPr>
        <w:spacing w:after="0" w:line="240" w:lineRule="auto"/>
      </w:pPr>
      <w:r>
        <w:separator/>
      </w:r>
    </w:p>
  </w:footnote>
  <w:footnote w:type="continuationSeparator" w:id="0">
    <w:p w14:paraId="0F7D8487" w14:textId="77777777" w:rsidR="00F35ADD" w:rsidRDefault="00F3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F94F" w14:textId="41B871C8" w:rsidR="001641BF" w:rsidRDefault="001641BF" w:rsidP="00235711">
    <w:pPr>
      <w:pStyle w:val="Header"/>
      <w:jc w:val="right"/>
    </w:pPr>
    <w:r>
      <w:t>C-SAACP.</w:t>
    </w:r>
    <w:r w:rsidR="00235711">
      <w:t>2 –</w:t>
    </w:r>
    <w:r>
      <w:t xml:space="preserve"> Core Surgery</w:t>
    </w:r>
  </w:p>
  <w:p w14:paraId="3D48420C" w14:textId="77777777" w:rsidR="001641BF" w:rsidRDefault="0016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A21"/>
    <w:multiLevelType w:val="hybridMultilevel"/>
    <w:tmpl w:val="9306B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5681B"/>
    <w:multiLevelType w:val="singleLevel"/>
    <w:tmpl w:val="C5863138"/>
    <w:lvl w:ilvl="0">
      <w:start w:val="1"/>
      <w:numFmt w:val="bullet"/>
      <w:pStyle w:val="RCVSBullet1"/>
      <w:lvlText w:val=""/>
      <w:lvlJc w:val="left"/>
      <w:pPr>
        <w:tabs>
          <w:tab w:val="num" w:pos="360"/>
        </w:tabs>
        <w:ind w:left="284" w:hanging="284"/>
      </w:pPr>
      <w:rPr>
        <w:rFonts w:ascii="Symbol" w:hAnsi="Symbol" w:hint="default"/>
      </w:rPr>
    </w:lvl>
  </w:abstractNum>
  <w:abstractNum w:abstractNumId="2" w15:restartNumberingAfterBreak="0">
    <w:nsid w:val="08DD2CA1"/>
    <w:multiLevelType w:val="hybridMultilevel"/>
    <w:tmpl w:val="AB30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45854"/>
    <w:multiLevelType w:val="hybridMultilevel"/>
    <w:tmpl w:val="BD54B3B6"/>
    <w:lvl w:ilvl="0" w:tplc="F2DA393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65C801A4">
      <w:start w:val="1"/>
      <w:numFmt w:val="bullet"/>
      <w:lvlText w:val="o"/>
      <w:lvlJc w:val="left"/>
      <w:pPr>
        <w:ind w:left="2160" w:hanging="180"/>
      </w:pPr>
      <w:rPr>
        <w:rFonts w:ascii="Courier New" w:hAnsi="Courier New" w:hint="default"/>
      </w:rPr>
    </w:lvl>
    <w:lvl w:ilvl="3" w:tplc="4A9CD1DA">
      <w:numFmt w:val="bullet"/>
      <w:lvlText w:val="•"/>
      <w:lvlJc w:val="left"/>
      <w:pPr>
        <w:ind w:left="3240" w:hanging="720"/>
      </w:pPr>
      <w:rPr>
        <w:rFonts w:ascii="Arial" w:eastAsia="Times New Roman" w:hAnsi="Arial" w:cs="Aria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84316"/>
    <w:multiLevelType w:val="hybridMultilevel"/>
    <w:tmpl w:val="B8E6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141ED"/>
    <w:multiLevelType w:val="hybridMultilevel"/>
    <w:tmpl w:val="DFE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08D0"/>
    <w:multiLevelType w:val="hybridMultilevel"/>
    <w:tmpl w:val="872E939E"/>
    <w:lvl w:ilvl="0" w:tplc="7E1EBB3E">
      <w:start w:val="1"/>
      <w:numFmt w:val="bullet"/>
      <w:lvlText w:val=""/>
      <w:lvlJc w:val="left"/>
      <w:pPr>
        <w:ind w:left="720" w:hanging="360"/>
      </w:pPr>
      <w:rPr>
        <w:rFonts w:ascii="Symbol" w:hAnsi="Symbol" w:hint="default"/>
      </w:rPr>
    </w:lvl>
    <w:lvl w:ilvl="1" w:tplc="DA6032B0">
      <w:start w:val="1"/>
      <w:numFmt w:val="bullet"/>
      <w:lvlText w:val="o"/>
      <w:lvlJc w:val="left"/>
      <w:pPr>
        <w:ind w:left="1440" w:hanging="360"/>
      </w:pPr>
      <w:rPr>
        <w:rFonts w:ascii="Courier New" w:hAnsi="Courier New" w:hint="default"/>
      </w:rPr>
    </w:lvl>
    <w:lvl w:ilvl="2" w:tplc="057479A4">
      <w:start w:val="1"/>
      <w:numFmt w:val="bullet"/>
      <w:lvlText w:val=""/>
      <w:lvlJc w:val="left"/>
      <w:pPr>
        <w:ind w:left="2160" w:hanging="360"/>
      </w:pPr>
      <w:rPr>
        <w:rFonts w:ascii="Wingdings" w:hAnsi="Wingdings" w:hint="default"/>
      </w:rPr>
    </w:lvl>
    <w:lvl w:ilvl="3" w:tplc="0D5AAD4C">
      <w:start w:val="1"/>
      <w:numFmt w:val="bullet"/>
      <w:lvlText w:val=""/>
      <w:lvlJc w:val="left"/>
      <w:pPr>
        <w:ind w:left="2880" w:hanging="360"/>
      </w:pPr>
      <w:rPr>
        <w:rFonts w:ascii="Symbol" w:hAnsi="Symbol" w:hint="default"/>
      </w:rPr>
    </w:lvl>
    <w:lvl w:ilvl="4" w:tplc="E26E472E">
      <w:start w:val="1"/>
      <w:numFmt w:val="bullet"/>
      <w:lvlText w:val="o"/>
      <w:lvlJc w:val="left"/>
      <w:pPr>
        <w:ind w:left="3600" w:hanging="360"/>
      </w:pPr>
      <w:rPr>
        <w:rFonts w:ascii="Courier New" w:hAnsi="Courier New" w:hint="default"/>
      </w:rPr>
    </w:lvl>
    <w:lvl w:ilvl="5" w:tplc="31644884">
      <w:start w:val="1"/>
      <w:numFmt w:val="bullet"/>
      <w:lvlText w:val=""/>
      <w:lvlJc w:val="left"/>
      <w:pPr>
        <w:ind w:left="4320" w:hanging="360"/>
      </w:pPr>
      <w:rPr>
        <w:rFonts w:ascii="Wingdings" w:hAnsi="Wingdings" w:hint="default"/>
      </w:rPr>
    </w:lvl>
    <w:lvl w:ilvl="6" w:tplc="81588FA2">
      <w:start w:val="1"/>
      <w:numFmt w:val="bullet"/>
      <w:lvlText w:val=""/>
      <w:lvlJc w:val="left"/>
      <w:pPr>
        <w:ind w:left="5040" w:hanging="360"/>
      </w:pPr>
      <w:rPr>
        <w:rFonts w:ascii="Symbol" w:hAnsi="Symbol" w:hint="default"/>
      </w:rPr>
    </w:lvl>
    <w:lvl w:ilvl="7" w:tplc="B3DC918C">
      <w:start w:val="1"/>
      <w:numFmt w:val="bullet"/>
      <w:lvlText w:val="o"/>
      <w:lvlJc w:val="left"/>
      <w:pPr>
        <w:ind w:left="5760" w:hanging="360"/>
      </w:pPr>
      <w:rPr>
        <w:rFonts w:ascii="Courier New" w:hAnsi="Courier New" w:hint="default"/>
      </w:rPr>
    </w:lvl>
    <w:lvl w:ilvl="8" w:tplc="3880CEE6">
      <w:start w:val="1"/>
      <w:numFmt w:val="bullet"/>
      <w:lvlText w:val=""/>
      <w:lvlJc w:val="left"/>
      <w:pPr>
        <w:ind w:left="6480" w:hanging="360"/>
      </w:pPr>
      <w:rPr>
        <w:rFonts w:ascii="Wingdings" w:hAnsi="Wingdings" w:hint="default"/>
      </w:rPr>
    </w:lvl>
  </w:abstractNum>
  <w:abstractNum w:abstractNumId="7" w15:restartNumberingAfterBreak="0">
    <w:nsid w:val="2F936923"/>
    <w:multiLevelType w:val="hybridMultilevel"/>
    <w:tmpl w:val="6AB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B0343"/>
    <w:multiLevelType w:val="hybridMultilevel"/>
    <w:tmpl w:val="B0D8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82928"/>
    <w:multiLevelType w:val="hybridMultilevel"/>
    <w:tmpl w:val="2B92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E2447"/>
    <w:multiLevelType w:val="hybridMultilevel"/>
    <w:tmpl w:val="25580E4A"/>
    <w:lvl w:ilvl="0" w:tplc="2318CEAC">
      <w:start w:val="4"/>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F503B"/>
    <w:multiLevelType w:val="hybridMultilevel"/>
    <w:tmpl w:val="AE2C5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C5083"/>
    <w:multiLevelType w:val="hybridMultilevel"/>
    <w:tmpl w:val="DAF4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36F3"/>
    <w:multiLevelType w:val="hybridMultilevel"/>
    <w:tmpl w:val="6F2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26C7F"/>
    <w:multiLevelType w:val="hybridMultilevel"/>
    <w:tmpl w:val="1A8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422449">
    <w:abstractNumId w:val="11"/>
  </w:num>
  <w:num w:numId="2" w16cid:durableId="1292323937">
    <w:abstractNumId w:val="7"/>
  </w:num>
  <w:num w:numId="3" w16cid:durableId="1850631183">
    <w:abstractNumId w:val="3"/>
  </w:num>
  <w:num w:numId="4" w16cid:durableId="335691649">
    <w:abstractNumId w:val="5"/>
  </w:num>
  <w:num w:numId="5" w16cid:durableId="1350378230">
    <w:abstractNumId w:val="0"/>
  </w:num>
  <w:num w:numId="6" w16cid:durableId="349916886">
    <w:abstractNumId w:val="9"/>
  </w:num>
  <w:num w:numId="7" w16cid:durableId="989672337">
    <w:abstractNumId w:val="8"/>
  </w:num>
  <w:num w:numId="8" w16cid:durableId="1990207419">
    <w:abstractNumId w:val="14"/>
  </w:num>
  <w:num w:numId="9" w16cid:durableId="1874999648">
    <w:abstractNumId w:val="2"/>
  </w:num>
  <w:num w:numId="10" w16cid:durableId="88046771">
    <w:abstractNumId w:val="1"/>
  </w:num>
  <w:num w:numId="11" w16cid:durableId="2092310428">
    <w:abstractNumId w:val="13"/>
  </w:num>
  <w:num w:numId="12" w16cid:durableId="906300579">
    <w:abstractNumId w:val="6"/>
  </w:num>
  <w:num w:numId="13" w16cid:durableId="90515219">
    <w:abstractNumId w:val="10"/>
  </w:num>
  <w:num w:numId="14" w16cid:durableId="1260602284">
    <w:abstractNumId w:val="12"/>
  </w:num>
  <w:num w:numId="15" w16cid:durableId="61637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AC"/>
    <w:rsid w:val="000056AC"/>
    <w:rsid w:val="000A5C36"/>
    <w:rsid w:val="000D3CF8"/>
    <w:rsid w:val="000E7E80"/>
    <w:rsid w:val="001641BF"/>
    <w:rsid w:val="00186FCC"/>
    <w:rsid w:val="001E0413"/>
    <w:rsid w:val="00235711"/>
    <w:rsid w:val="002B77CB"/>
    <w:rsid w:val="002E6575"/>
    <w:rsid w:val="0032473D"/>
    <w:rsid w:val="003E2703"/>
    <w:rsid w:val="004C376B"/>
    <w:rsid w:val="004C6AC6"/>
    <w:rsid w:val="00524E97"/>
    <w:rsid w:val="005A066C"/>
    <w:rsid w:val="005A4754"/>
    <w:rsid w:val="005A7F9B"/>
    <w:rsid w:val="006061D9"/>
    <w:rsid w:val="00674058"/>
    <w:rsid w:val="00693F81"/>
    <w:rsid w:val="006E0F50"/>
    <w:rsid w:val="006E75D5"/>
    <w:rsid w:val="00711F64"/>
    <w:rsid w:val="007821B3"/>
    <w:rsid w:val="00886EB4"/>
    <w:rsid w:val="00936957"/>
    <w:rsid w:val="00952900"/>
    <w:rsid w:val="00990448"/>
    <w:rsid w:val="00A020CF"/>
    <w:rsid w:val="00A07663"/>
    <w:rsid w:val="00A44985"/>
    <w:rsid w:val="00A648EA"/>
    <w:rsid w:val="00A807D2"/>
    <w:rsid w:val="00AD0DFF"/>
    <w:rsid w:val="00AE7871"/>
    <w:rsid w:val="00B107BD"/>
    <w:rsid w:val="00BB52AE"/>
    <w:rsid w:val="00BE6E15"/>
    <w:rsid w:val="00D14508"/>
    <w:rsid w:val="00D20BC5"/>
    <w:rsid w:val="00D53DFA"/>
    <w:rsid w:val="00D93BFF"/>
    <w:rsid w:val="00E23634"/>
    <w:rsid w:val="00E60A23"/>
    <w:rsid w:val="00EE35BA"/>
    <w:rsid w:val="00F11332"/>
    <w:rsid w:val="00F35ADD"/>
    <w:rsid w:val="00F80050"/>
    <w:rsid w:val="00FC5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C23A"/>
  <w15:chartTrackingRefBased/>
  <w15:docId w15:val="{28EF249E-ED41-E144-8E48-17A2B355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AC"/>
    <w:pPr>
      <w:spacing w:after="200" w:line="300" w:lineRule="atLeast"/>
    </w:pPr>
    <w:rPr>
      <w:rFonts w:ascii="Arial" w:eastAsia="Times New Roman" w:hAnsi="Arial" w:cs="Times New Roman"/>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56AC"/>
    <w:pPr>
      <w:tabs>
        <w:tab w:val="center" w:pos="4513"/>
        <w:tab w:val="right" w:pos="9026"/>
      </w:tabs>
      <w:spacing w:after="0" w:line="240" w:lineRule="auto"/>
    </w:pPr>
  </w:style>
  <w:style w:type="character" w:customStyle="1" w:styleId="FooterChar">
    <w:name w:val="Footer Char"/>
    <w:basedOn w:val="DefaultParagraphFont"/>
    <w:link w:val="Footer"/>
    <w:rsid w:val="000056AC"/>
    <w:rPr>
      <w:rFonts w:ascii="Arial" w:eastAsia="Times New Roman" w:hAnsi="Arial" w:cs="Times New Roman"/>
      <w:sz w:val="20"/>
      <w:szCs w:val="22"/>
    </w:rPr>
  </w:style>
  <w:style w:type="paragraph" w:styleId="ListParagraph">
    <w:name w:val="List Paragraph"/>
    <w:basedOn w:val="Normal"/>
    <w:uiPriority w:val="34"/>
    <w:qFormat/>
    <w:rsid w:val="000056AC"/>
    <w:pPr>
      <w:ind w:left="720"/>
    </w:pPr>
  </w:style>
  <w:style w:type="table" w:styleId="TableGrid">
    <w:name w:val="Table Grid"/>
    <w:basedOn w:val="TableNormal"/>
    <w:uiPriority w:val="39"/>
    <w:rsid w:val="000056AC"/>
    <w:pPr>
      <w:spacing w:after="200" w:line="300" w:lineRule="atLeast"/>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CF8"/>
    <w:rPr>
      <w:rFonts w:ascii="Arial" w:eastAsia="Times New Roman" w:hAnsi="Arial" w:cs="Times New Roman"/>
      <w:sz w:val="20"/>
      <w:szCs w:val="22"/>
    </w:rPr>
  </w:style>
  <w:style w:type="paragraph" w:customStyle="1" w:styleId="RCVSBody">
    <w:name w:val="RCVS Body"/>
    <w:rsid w:val="00AE7871"/>
    <w:pPr>
      <w:tabs>
        <w:tab w:val="left" w:pos="284"/>
        <w:tab w:val="left" w:pos="567"/>
      </w:tabs>
      <w:suppressAutoHyphens/>
      <w:spacing w:line="300" w:lineRule="exact"/>
    </w:pPr>
    <w:rPr>
      <w:rFonts w:ascii="CG Omega" w:eastAsia="Times New Roman" w:hAnsi="CG Omega" w:cs="Times New Roman"/>
      <w:sz w:val="22"/>
      <w:szCs w:val="20"/>
    </w:rPr>
  </w:style>
  <w:style w:type="paragraph" w:customStyle="1" w:styleId="RCVSBullet1">
    <w:name w:val="RCVS Bullet 1"/>
    <w:basedOn w:val="RCVSBody"/>
    <w:rsid w:val="00BB52AE"/>
    <w:pPr>
      <w:numPr>
        <w:numId w:val="10"/>
      </w:numPr>
      <w:spacing w:after="150"/>
    </w:pPr>
  </w:style>
  <w:style w:type="character" w:styleId="CommentReference">
    <w:name w:val="annotation reference"/>
    <w:basedOn w:val="DefaultParagraphFont"/>
    <w:uiPriority w:val="99"/>
    <w:semiHidden/>
    <w:unhideWhenUsed/>
    <w:rsid w:val="00D14508"/>
    <w:rPr>
      <w:sz w:val="16"/>
      <w:szCs w:val="16"/>
    </w:rPr>
  </w:style>
  <w:style w:type="paragraph" w:styleId="CommentText">
    <w:name w:val="annotation text"/>
    <w:basedOn w:val="Normal"/>
    <w:link w:val="CommentTextChar"/>
    <w:uiPriority w:val="99"/>
    <w:semiHidden/>
    <w:unhideWhenUsed/>
    <w:rsid w:val="00D14508"/>
    <w:pPr>
      <w:spacing w:line="240" w:lineRule="auto"/>
    </w:pPr>
    <w:rPr>
      <w:szCs w:val="20"/>
    </w:rPr>
  </w:style>
  <w:style w:type="character" w:customStyle="1" w:styleId="CommentTextChar">
    <w:name w:val="Comment Text Char"/>
    <w:basedOn w:val="DefaultParagraphFont"/>
    <w:link w:val="CommentText"/>
    <w:uiPriority w:val="99"/>
    <w:semiHidden/>
    <w:rsid w:val="00D145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14508"/>
    <w:rPr>
      <w:b/>
      <w:bCs/>
    </w:rPr>
  </w:style>
  <w:style w:type="character" w:customStyle="1" w:styleId="CommentSubjectChar">
    <w:name w:val="Comment Subject Char"/>
    <w:basedOn w:val="CommentTextChar"/>
    <w:link w:val="CommentSubject"/>
    <w:uiPriority w:val="99"/>
    <w:semiHidden/>
    <w:rsid w:val="00D14508"/>
    <w:rPr>
      <w:rFonts w:ascii="Arial" w:eastAsia="Times New Roman" w:hAnsi="Arial" w:cs="Times New Roman"/>
      <w:b/>
      <w:bCs/>
      <w:sz w:val="20"/>
      <w:szCs w:val="20"/>
    </w:rPr>
  </w:style>
  <w:style w:type="paragraph" w:styleId="Revision">
    <w:name w:val="Revision"/>
    <w:hidden/>
    <w:uiPriority w:val="99"/>
    <w:semiHidden/>
    <w:rsid w:val="00D14508"/>
    <w:rPr>
      <w:rFonts w:ascii="Arial" w:eastAsia="Times New Roman" w:hAnsi="Arial" w:cs="Times New Roman"/>
      <w:sz w:val="20"/>
      <w:szCs w:val="22"/>
    </w:rPr>
  </w:style>
  <w:style w:type="paragraph" w:styleId="BalloonText">
    <w:name w:val="Balloon Text"/>
    <w:basedOn w:val="Normal"/>
    <w:link w:val="BalloonTextChar"/>
    <w:uiPriority w:val="99"/>
    <w:semiHidden/>
    <w:unhideWhenUsed/>
    <w:rsid w:val="00D14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ADCD6C57F94DA83CD58D8F095537" ma:contentTypeVersion="11" ma:contentTypeDescription="Create a new document." ma:contentTypeScope="" ma:versionID="20065b2388fed15d015a33204bd38ed1">
  <xsd:schema xmlns:xsd="http://www.w3.org/2001/XMLSchema" xmlns:xs="http://www.w3.org/2001/XMLSchema" xmlns:p="http://schemas.microsoft.com/office/2006/metadata/properties" xmlns:ns2="8fa230aa-2912-4861-bb85-63b9a5d32f5a" xmlns:ns3="b195b0d2-6a56-4d94-8b8f-9421f995ce4f" targetNamespace="http://schemas.microsoft.com/office/2006/metadata/properties" ma:root="true" ma:fieldsID="bee130fede599c2ba3a5a51110a3625d" ns2:_="" ns3:_="">
    <xsd:import namespace="8fa230aa-2912-4861-bb85-63b9a5d32f5a"/>
    <xsd:import namespace="b195b0d2-6a56-4d94-8b8f-9421f995c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230aa-2912-4861-bb85-63b9a5d32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5b0d2-6a56-4d94-8b8f-9421f995c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A0CB6-6A6F-433E-BC35-74DFCAC8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230aa-2912-4861-bb85-63b9a5d32f5a"/>
    <ds:schemaRef ds:uri="b195b0d2-6a56-4d94-8b8f-9421f995c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7AE6-1034-4C40-8D25-F4524BBBF02C}">
  <ds:schemaRefs>
    <ds:schemaRef ds:uri="http://schemas.microsoft.com/sharepoint/v3/contenttype/forms"/>
  </ds:schemaRefs>
</ds:datastoreItem>
</file>

<file path=customXml/itemProps3.xml><?xml version="1.0" encoding="utf-8"?>
<ds:datastoreItem xmlns:ds="http://schemas.openxmlformats.org/officeDocument/2006/customXml" ds:itemID="{3CF9F072-98D4-4063-9E05-DD22BE0FD8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White</dc:creator>
  <cp:keywords/>
  <dc:description/>
  <cp:lastModifiedBy>Britta Crawford</cp:lastModifiedBy>
  <cp:revision>2</cp:revision>
  <cp:lastPrinted>2020-05-17T14:24:00Z</cp:lastPrinted>
  <dcterms:created xsi:type="dcterms:W3CDTF">2022-11-28T17:24:00Z</dcterms:created>
  <dcterms:modified xsi:type="dcterms:W3CDTF">2022-11-28T17:24:00Z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0x0101004279ADCD6C57F94DA83CD58D8F095537</vt:lpwstr>
  </property>
</Properties>
</file>