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7B" w:rsidRPr="00423FB2" w:rsidRDefault="0037547B" w:rsidP="0037547B">
      <w:pPr>
        <w:spacing w:after="0" w:line="240" w:lineRule="exact"/>
        <w:rPr>
          <w:rFonts w:cs="Arial"/>
          <w:szCs w:val="20"/>
        </w:rPr>
      </w:pPr>
      <w:bookmarkStart w:id="0" w:name="_GoBack"/>
      <w:bookmarkEnd w:id="0"/>
    </w:p>
    <w:tbl>
      <w:tblPr>
        <w:tblStyle w:val="TableGrid"/>
        <w:tblW w:w="0" w:type="auto"/>
        <w:tblLook w:val="04A0" w:firstRow="1" w:lastRow="0" w:firstColumn="1" w:lastColumn="0" w:noHBand="0" w:noVBand="1"/>
      </w:tblPr>
      <w:tblGrid>
        <w:gridCol w:w="4258"/>
        <w:gridCol w:w="4258"/>
      </w:tblGrid>
      <w:tr w:rsidR="0037547B" w:rsidRPr="0037547B" w:rsidTr="0085245F">
        <w:tc>
          <w:tcPr>
            <w:tcW w:w="4258" w:type="dxa"/>
          </w:tcPr>
          <w:p w:rsidR="0037547B" w:rsidRPr="0037547B" w:rsidRDefault="0037547B" w:rsidP="0085245F">
            <w:pPr>
              <w:spacing w:after="0" w:line="240" w:lineRule="exact"/>
              <w:rPr>
                <w:rFonts w:cs="Arial"/>
                <w:b/>
                <w:szCs w:val="20"/>
              </w:rPr>
            </w:pPr>
            <w:r w:rsidRPr="0037547B">
              <w:rPr>
                <w:rFonts w:cs="Arial"/>
                <w:b/>
                <w:szCs w:val="20"/>
              </w:rPr>
              <w:t>REF. NO</w:t>
            </w:r>
          </w:p>
        </w:tc>
        <w:tc>
          <w:tcPr>
            <w:tcW w:w="4258" w:type="dxa"/>
          </w:tcPr>
          <w:p w:rsidR="0037547B" w:rsidRPr="0037547B" w:rsidRDefault="0037547B" w:rsidP="0085245F">
            <w:pPr>
              <w:spacing w:after="0" w:line="240" w:lineRule="exact"/>
              <w:rPr>
                <w:rFonts w:cs="Arial"/>
                <w:b/>
                <w:szCs w:val="20"/>
              </w:rPr>
            </w:pPr>
            <w:r w:rsidRPr="0037547B">
              <w:rPr>
                <w:rFonts w:cs="Arial"/>
                <w:b/>
                <w:szCs w:val="20"/>
              </w:rPr>
              <w:t>C-VWT</w:t>
            </w:r>
          </w:p>
        </w:tc>
      </w:tr>
      <w:tr w:rsidR="0037547B" w:rsidRPr="0037547B" w:rsidTr="0085245F">
        <w:tc>
          <w:tcPr>
            <w:tcW w:w="4258" w:type="dxa"/>
          </w:tcPr>
          <w:p w:rsidR="0037547B" w:rsidRPr="0037547B" w:rsidRDefault="0037547B" w:rsidP="0085245F">
            <w:pPr>
              <w:spacing w:after="0" w:line="240" w:lineRule="exact"/>
              <w:rPr>
                <w:rFonts w:cs="Arial"/>
                <w:b/>
                <w:szCs w:val="20"/>
              </w:rPr>
            </w:pPr>
            <w:r w:rsidRPr="0037547B">
              <w:rPr>
                <w:rFonts w:cs="Arial"/>
                <w:b/>
                <w:szCs w:val="20"/>
              </w:rPr>
              <w:t>TITLE</w:t>
            </w:r>
          </w:p>
        </w:tc>
        <w:tc>
          <w:tcPr>
            <w:tcW w:w="4258" w:type="dxa"/>
          </w:tcPr>
          <w:p w:rsidR="0037547B" w:rsidRPr="0037547B" w:rsidRDefault="0037547B" w:rsidP="0085245F">
            <w:pPr>
              <w:spacing w:after="0" w:line="240" w:lineRule="exact"/>
              <w:rPr>
                <w:rFonts w:cs="Arial"/>
                <w:b/>
                <w:caps/>
                <w:szCs w:val="20"/>
              </w:rPr>
            </w:pPr>
            <w:r w:rsidRPr="0037547B">
              <w:rPr>
                <w:rFonts w:cs="Arial"/>
                <w:b/>
                <w:caps/>
                <w:szCs w:val="20"/>
              </w:rPr>
              <w:t>Veterinary Workplace Teaching</w:t>
            </w:r>
          </w:p>
        </w:tc>
      </w:tr>
      <w:tr w:rsidR="0037547B" w:rsidRPr="0037547B" w:rsidTr="0085245F">
        <w:tc>
          <w:tcPr>
            <w:tcW w:w="4258" w:type="dxa"/>
          </w:tcPr>
          <w:p w:rsidR="0037547B" w:rsidRPr="0037547B" w:rsidRDefault="0037547B" w:rsidP="0085245F">
            <w:pPr>
              <w:spacing w:after="0" w:line="240" w:lineRule="exact"/>
              <w:rPr>
                <w:rFonts w:cs="Arial"/>
                <w:b/>
                <w:szCs w:val="20"/>
              </w:rPr>
            </w:pPr>
            <w:r w:rsidRPr="0037547B">
              <w:rPr>
                <w:rFonts w:cs="Arial"/>
                <w:b/>
                <w:szCs w:val="20"/>
              </w:rPr>
              <w:t>CATEGORY AND VALUE</w:t>
            </w:r>
          </w:p>
        </w:tc>
        <w:tc>
          <w:tcPr>
            <w:tcW w:w="4258" w:type="dxa"/>
          </w:tcPr>
          <w:p w:rsidR="0037547B" w:rsidRPr="0037547B" w:rsidRDefault="0037547B" w:rsidP="0085245F">
            <w:pPr>
              <w:spacing w:after="0" w:line="240" w:lineRule="exact"/>
              <w:rPr>
                <w:rFonts w:cs="Arial"/>
                <w:b/>
                <w:szCs w:val="20"/>
              </w:rPr>
            </w:pPr>
            <w:r w:rsidRPr="0037547B">
              <w:rPr>
                <w:rFonts w:cs="Arial"/>
                <w:b/>
                <w:szCs w:val="20"/>
              </w:rPr>
              <w:t>10</w:t>
            </w:r>
          </w:p>
        </w:tc>
      </w:tr>
      <w:tr w:rsidR="0037547B" w:rsidRPr="0037547B" w:rsidTr="0085245F">
        <w:tc>
          <w:tcPr>
            <w:tcW w:w="4258" w:type="dxa"/>
          </w:tcPr>
          <w:p w:rsidR="0037547B" w:rsidRPr="0037547B" w:rsidRDefault="0037547B" w:rsidP="0085245F">
            <w:pPr>
              <w:spacing w:after="0" w:line="240" w:lineRule="exact"/>
              <w:rPr>
                <w:rFonts w:cs="Arial"/>
                <w:b/>
                <w:szCs w:val="20"/>
              </w:rPr>
            </w:pPr>
            <w:r w:rsidRPr="0037547B">
              <w:rPr>
                <w:rFonts w:cs="Arial"/>
                <w:b/>
                <w:szCs w:val="20"/>
              </w:rPr>
              <w:t>NOTIONAL STUDY HOURS</w:t>
            </w:r>
          </w:p>
        </w:tc>
        <w:tc>
          <w:tcPr>
            <w:tcW w:w="4258" w:type="dxa"/>
          </w:tcPr>
          <w:p w:rsidR="0037547B" w:rsidRPr="0037547B" w:rsidRDefault="0037547B" w:rsidP="0085245F">
            <w:pPr>
              <w:spacing w:after="0" w:line="240" w:lineRule="exact"/>
              <w:rPr>
                <w:rFonts w:cs="Arial"/>
                <w:b/>
                <w:szCs w:val="20"/>
              </w:rPr>
            </w:pPr>
            <w:r w:rsidRPr="0037547B">
              <w:rPr>
                <w:rFonts w:cs="Arial"/>
                <w:b/>
                <w:szCs w:val="20"/>
              </w:rPr>
              <w:t>100</w:t>
            </w:r>
          </w:p>
        </w:tc>
      </w:tr>
    </w:tbl>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b/>
          <w:szCs w:val="20"/>
        </w:rPr>
      </w:pPr>
      <w:r w:rsidRPr="0037547B">
        <w:rPr>
          <w:rFonts w:cs="Arial"/>
          <w:b/>
          <w:szCs w:val="20"/>
        </w:rPr>
        <w:t>Introduction</w:t>
      </w:r>
    </w:p>
    <w:p w:rsidR="0037547B" w:rsidRPr="0037547B" w:rsidRDefault="0037547B" w:rsidP="0037547B">
      <w:pPr>
        <w:spacing w:after="0" w:line="240" w:lineRule="exact"/>
        <w:rPr>
          <w:rFonts w:cs="Arial"/>
          <w:b/>
          <w:szCs w:val="20"/>
        </w:rPr>
      </w:pPr>
    </w:p>
    <w:p w:rsidR="0037547B" w:rsidRPr="0037547B" w:rsidRDefault="0037547B" w:rsidP="0037547B">
      <w:pPr>
        <w:spacing w:after="0" w:line="240" w:lineRule="exact"/>
        <w:rPr>
          <w:rFonts w:cs="Arial"/>
          <w:szCs w:val="20"/>
        </w:rPr>
      </w:pPr>
      <w:r w:rsidRPr="0037547B">
        <w:rPr>
          <w:rFonts w:cs="Arial"/>
          <w:szCs w:val="20"/>
        </w:rPr>
        <w:t>This module is particularly relevant for those candidates who are involved in workplace teaching/ training as part of their role, and the module content has been designed to support the improvement in the expertise of the candidate as a veterinary educator (for example when teaching students on extra-mural studies (EMS) or veterinary nursing placements. However, through the emphasis on how students learn, effective learning strategies and understanding experience-based learning, it is expected that the module will also benefit CertAVP candidates in their ongoing certificate learning.</w:t>
      </w:r>
    </w:p>
    <w:p w:rsidR="0037547B" w:rsidRPr="0037547B" w:rsidRDefault="0037547B" w:rsidP="0037547B">
      <w:pPr>
        <w:spacing w:after="0" w:line="240" w:lineRule="exact"/>
        <w:rPr>
          <w:rFonts w:cs="Arial"/>
          <w:b/>
          <w:szCs w:val="20"/>
        </w:rPr>
      </w:pPr>
    </w:p>
    <w:p w:rsidR="0037547B" w:rsidRPr="0037547B" w:rsidRDefault="0037547B" w:rsidP="0037547B">
      <w:pPr>
        <w:spacing w:after="0" w:line="240" w:lineRule="exact"/>
        <w:rPr>
          <w:rFonts w:cs="Arial"/>
          <w:b/>
          <w:szCs w:val="20"/>
        </w:rPr>
      </w:pPr>
      <w:r w:rsidRPr="0037547B">
        <w:rPr>
          <w:rFonts w:cs="Arial"/>
          <w:b/>
          <w:szCs w:val="20"/>
        </w:rPr>
        <w:t>Aim</w:t>
      </w:r>
    </w:p>
    <w:p w:rsidR="0037547B" w:rsidRPr="0037547B" w:rsidRDefault="0037547B" w:rsidP="0037547B">
      <w:pPr>
        <w:spacing w:after="0" w:line="240" w:lineRule="exact"/>
        <w:rPr>
          <w:rFonts w:cs="Arial"/>
          <w:b/>
          <w:szCs w:val="20"/>
        </w:rPr>
      </w:pPr>
    </w:p>
    <w:p w:rsidR="0037547B" w:rsidRPr="0037547B" w:rsidRDefault="0037547B" w:rsidP="0037547B">
      <w:pPr>
        <w:spacing w:after="0" w:line="240" w:lineRule="exact"/>
        <w:rPr>
          <w:rFonts w:cs="Arial"/>
          <w:szCs w:val="20"/>
        </w:rPr>
      </w:pPr>
      <w:r w:rsidRPr="0037547B">
        <w:rPr>
          <w:rFonts w:cs="Arial"/>
          <w:szCs w:val="20"/>
        </w:rPr>
        <w:t xml:space="preserve">The aim of this module is to support those who are involved in workplace training and enable them to improve their effectiveness by applying an evidence base to their teaching approach. Through the application of theories of educational practice, candidates will develop their own expertise in facilitating student learning in clinical and other veterinary work environments. </w:t>
      </w: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szCs w:val="20"/>
        </w:rPr>
      </w:pPr>
      <w:r w:rsidRPr="0037547B">
        <w:rPr>
          <w:rFonts w:cs="Arial"/>
          <w:szCs w:val="20"/>
        </w:rPr>
        <w:t>This module is aimed at those who are interested in improving any teaching role that forms part of their clinical work, such as supervising EMS or veterinary nursing students.  It would also be of interest for those involved in in-house staff training, either formally or informally, such as providing support to recently graduated veterinarians and veterinary nurses.</w:t>
      </w: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b/>
          <w:szCs w:val="20"/>
        </w:rPr>
      </w:pPr>
      <w:r w:rsidRPr="0037547B">
        <w:rPr>
          <w:rFonts w:cs="Arial"/>
          <w:b/>
          <w:szCs w:val="20"/>
        </w:rPr>
        <w:t>Area Covered</w:t>
      </w:r>
    </w:p>
    <w:p w:rsidR="0037547B" w:rsidRPr="0037547B" w:rsidRDefault="0037547B" w:rsidP="0037547B">
      <w:pPr>
        <w:spacing w:after="0" w:line="240" w:lineRule="exact"/>
        <w:rPr>
          <w:rFonts w:cs="Arial"/>
          <w:b/>
          <w:szCs w:val="20"/>
        </w:rPr>
      </w:pPr>
    </w:p>
    <w:p w:rsidR="0037547B" w:rsidRPr="0037547B" w:rsidRDefault="0037547B" w:rsidP="0037547B">
      <w:pPr>
        <w:spacing w:after="0" w:line="240" w:lineRule="exact"/>
        <w:rPr>
          <w:rFonts w:cs="Arial"/>
          <w:szCs w:val="20"/>
        </w:rPr>
      </w:pPr>
      <w:r w:rsidRPr="0037547B">
        <w:rPr>
          <w:rFonts w:cs="Arial"/>
          <w:szCs w:val="20"/>
        </w:rPr>
        <w:t>The module covers the following areas:</w:t>
      </w:r>
    </w:p>
    <w:p w:rsidR="0037547B" w:rsidRPr="0037547B" w:rsidRDefault="0037547B" w:rsidP="0037547B">
      <w:pPr>
        <w:spacing w:after="0" w:line="240" w:lineRule="exact"/>
        <w:rPr>
          <w:rFonts w:cs="Arial"/>
          <w:szCs w:val="20"/>
        </w:rPr>
      </w:pPr>
    </w:p>
    <w:p w:rsidR="0037547B" w:rsidRPr="0037547B" w:rsidRDefault="0037547B" w:rsidP="0037547B">
      <w:pPr>
        <w:pStyle w:val="ListParagraph"/>
        <w:numPr>
          <w:ilvl w:val="0"/>
          <w:numId w:val="5"/>
        </w:numPr>
        <w:spacing w:line="240" w:lineRule="exact"/>
        <w:rPr>
          <w:rFonts w:ascii="Arial" w:hAnsi="Arial" w:cs="Arial"/>
          <w:sz w:val="20"/>
          <w:szCs w:val="20"/>
        </w:rPr>
      </w:pPr>
      <w:r w:rsidRPr="0037547B">
        <w:rPr>
          <w:rFonts w:ascii="Arial" w:hAnsi="Arial" w:cs="Arial"/>
          <w:sz w:val="20"/>
          <w:szCs w:val="20"/>
        </w:rPr>
        <w:t xml:space="preserve">Student learning theory: The application of theories of how students learn, relevant to the context of learning in the veterinary clinical practice. Theories of social constructivist, active, student-centred and self-directed learning will be included, as well as covering the importance of intrinsic motivation and relevance. </w:t>
      </w:r>
    </w:p>
    <w:p w:rsidR="0037547B" w:rsidRPr="0037547B" w:rsidRDefault="0037547B" w:rsidP="0037547B">
      <w:pPr>
        <w:pStyle w:val="ListParagraph"/>
        <w:numPr>
          <w:ilvl w:val="0"/>
          <w:numId w:val="5"/>
        </w:numPr>
        <w:spacing w:line="240" w:lineRule="exact"/>
        <w:rPr>
          <w:rFonts w:ascii="Arial" w:hAnsi="Arial" w:cs="Arial"/>
          <w:sz w:val="20"/>
          <w:szCs w:val="20"/>
        </w:rPr>
      </w:pPr>
      <w:r w:rsidRPr="0037547B">
        <w:rPr>
          <w:rFonts w:ascii="Arial" w:hAnsi="Arial" w:cs="Arial"/>
          <w:sz w:val="20"/>
          <w:szCs w:val="20"/>
        </w:rPr>
        <w:t>Experiential learning: The advantages of experience-based learning as a powerful learning tool, and the importance of reflection and consolidation to support this learning process.</w:t>
      </w:r>
    </w:p>
    <w:p w:rsidR="0037547B" w:rsidRPr="0037547B" w:rsidRDefault="0037547B" w:rsidP="0037547B">
      <w:pPr>
        <w:pStyle w:val="ListParagraph"/>
        <w:numPr>
          <w:ilvl w:val="0"/>
          <w:numId w:val="5"/>
        </w:numPr>
        <w:spacing w:line="240" w:lineRule="exact"/>
        <w:rPr>
          <w:rFonts w:ascii="Arial" w:hAnsi="Arial" w:cs="Arial"/>
          <w:sz w:val="20"/>
          <w:szCs w:val="20"/>
        </w:rPr>
      </w:pPr>
      <w:r w:rsidRPr="0037547B">
        <w:rPr>
          <w:rFonts w:ascii="Arial" w:hAnsi="Arial" w:cs="Arial"/>
          <w:sz w:val="20"/>
          <w:szCs w:val="20"/>
        </w:rPr>
        <w:t>Learning in the workplace: The advantages and challenges of workplace learning, including learning from and alongside patients and clients, conflicting professional responsibilities (veterinary surgeon as clinician and as educator, responsibilities to staff, clients, patient and student), transient teacher-student relationships and challenging interpersonal interactions</w:t>
      </w:r>
    </w:p>
    <w:p w:rsidR="0037547B" w:rsidRPr="0037547B" w:rsidRDefault="0037547B" w:rsidP="0037547B">
      <w:pPr>
        <w:pStyle w:val="ListParagraph"/>
        <w:numPr>
          <w:ilvl w:val="0"/>
          <w:numId w:val="5"/>
        </w:numPr>
        <w:spacing w:line="240" w:lineRule="exact"/>
        <w:rPr>
          <w:rFonts w:ascii="Arial" w:hAnsi="Arial" w:cs="Arial"/>
          <w:sz w:val="20"/>
          <w:szCs w:val="20"/>
        </w:rPr>
      </w:pPr>
      <w:r w:rsidRPr="0037547B">
        <w:rPr>
          <w:rFonts w:ascii="Arial" w:hAnsi="Arial" w:cs="Arial"/>
          <w:sz w:val="20"/>
          <w:szCs w:val="20"/>
        </w:rPr>
        <w:t>Setting learning outcomes from the clinical workplace, including clinical reasoning, practical skills and professional competences</w:t>
      </w:r>
    </w:p>
    <w:p w:rsidR="0037547B" w:rsidRPr="0037547B" w:rsidRDefault="0037547B" w:rsidP="0037547B">
      <w:pPr>
        <w:pStyle w:val="ListParagraph"/>
        <w:numPr>
          <w:ilvl w:val="0"/>
          <w:numId w:val="5"/>
        </w:numPr>
        <w:spacing w:line="240" w:lineRule="exact"/>
        <w:rPr>
          <w:rFonts w:ascii="Arial" w:hAnsi="Arial" w:cs="Arial"/>
          <w:sz w:val="20"/>
          <w:szCs w:val="20"/>
        </w:rPr>
      </w:pPr>
      <w:r w:rsidRPr="0037547B">
        <w:rPr>
          <w:rFonts w:ascii="Arial" w:hAnsi="Arial" w:cs="Arial"/>
          <w:sz w:val="20"/>
          <w:szCs w:val="20"/>
        </w:rPr>
        <w:t>Models for teaching practical skills, clinical reasoning, professionalism</w:t>
      </w:r>
    </w:p>
    <w:p w:rsidR="0037547B" w:rsidRPr="0037547B" w:rsidRDefault="0037547B" w:rsidP="0037547B">
      <w:pPr>
        <w:pStyle w:val="ListParagraph"/>
        <w:numPr>
          <w:ilvl w:val="0"/>
          <w:numId w:val="5"/>
        </w:numPr>
        <w:spacing w:line="240" w:lineRule="exact"/>
        <w:rPr>
          <w:rFonts w:ascii="Arial" w:hAnsi="Arial" w:cs="Arial"/>
          <w:sz w:val="20"/>
          <w:szCs w:val="20"/>
        </w:rPr>
      </w:pPr>
      <w:r w:rsidRPr="0037547B">
        <w:rPr>
          <w:rFonts w:ascii="Arial" w:hAnsi="Arial" w:cs="Arial"/>
          <w:sz w:val="20"/>
          <w:szCs w:val="20"/>
        </w:rPr>
        <w:t>Assessing the student and models of effective feedback</w:t>
      </w:r>
    </w:p>
    <w:p w:rsidR="0037547B" w:rsidRPr="0037547B" w:rsidRDefault="0037547B" w:rsidP="0037547B">
      <w:pPr>
        <w:pStyle w:val="ListParagraph"/>
        <w:spacing w:line="240" w:lineRule="exact"/>
        <w:rPr>
          <w:rFonts w:ascii="Arial" w:hAnsi="Arial" w:cs="Arial"/>
          <w:sz w:val="20"/>
          <w:szCs w:val="20"/>
        </w:rPr>
      </w:pP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b/>
          <w:szCs w:val="20"/>
        </w:rPr>
      </w:pPr>
      <w:r w:rsidRPr="0037547B">
        <w:rPr>
          <w:rFonts w:cs="Arial"/>
          <w:b/>
          <w:szCs w:val="20"/>
        </w:rPr>
        <w:t>Learning Outcomes</w:t>
      </w:r>
    </w:p>
    <w:p w:rsidR="0037547B" w:rsidRPr="0037547B" w:rsidRDefault="0037547B" w:rsidP="0037547B">
      <w:pPr>
        <w:spacing w:after="0" w:line="240" w:lineRule="exact"/>
        <w:rPr>
          <w:rFonts w:cs="Arial"/>
          <w:b/>
          <w:szCs w:val="20"/>
        </w:rPr>
      </w:pPr>
    </w:p>
    <w:p w:rsidR="0037547B" w:rsidRPr="0037547B" w:rsidRDefault="0037547B" w:rsidP="0037547B">
      <w:pPr>
        <w:spacing w:after="0" w:line="240" w:lineRule="exact"/>
        <w:rPr>
          <w:rFonts w:cs="Arial"/>
          <w:szCs w:val="20"/>
        </w:rPr>
      </w:pPr>
      <w:r w:rsidRPr="0037547B">
        <w:rPr>
          <w:rFonts w:cs="Arial"/>
          <w:szCs w:val="20"/>
        </w:rPr>
        <w:t>At the end of the module, candidates should be able to:</w:t>
      </w:r>
    </w:p>
    <w:p w:rsidR="0037547B" w:rsidRPr="0037547B" w:rsidRDefault="0037547B" w:rsidP="0037547B">
      <w:pPr>
        <w:spacing w:after="0" w:line="240" w:lineRule="exact"/>
        <w:rPr>
          <w:rFonts w:cs="Arial"/>
          <w:b/>
          <w:szCs w:val="20"/>
        </w:rPr>
      </w:pPr>
    </w:p>
    <w:p w:rsidR="0037547B" w:rsidRPr="0037547B" w:rsidRDefault="0037547B" w:rsidP="0037547B">
      <w:pPr>
        <w:pStyle w:val="ListParagraph"/>
        <w:numPr>
          <w:ilvl w:val="0"/>
          <w:numId w:val="2"/>
        </w:numPr>
        <w:spacing w:line="240" w:lineRule="exact"/>
        <w:rPr>
          <w:rFonts w:ascii="Arial" w:hAnsi="Arial" w:cs="Arial"/>
          <w:sz w:val="20"/>
          <w:szCs w:val="20"/>
        </w:rPr>
      </w:pPr>
      <w:r w:rsidRPr="0037547B">
        <w:rPr>
          <w:rFonts w:ascii="Arial" w:hAnsi="Arial" w:cs="Arial"/>
          <w:sz w:val="20"/>
          <w:szCs w:val="20"/>
        </w:rPr>
        <w:t>Apply relevant learning theory to create strategies for developing  students in the work environment.</w:t>
      </w:r>
    </w:p>
    <w:p w:rsidR="0037547B" w:rsidRPr="0037547B" w:rsidRDefault="0037547B" w:rsidP="0037547B">
      <w:pPr>
        <w:pStyle w:val="ListParagraph"/>
        <w:numPr>
          <w:ilvl w:val="0"/>
          <w:numId w:val="2"/>
        </w:numPr>
        <w:spacing w:line="240" w:lineRule="exact"/>
        <w:rPr>
          <w:rFonts w:ascii="Arial" w:hAnsi="Arial" w:cs="Arial"/>
          <w:sz w:val="20"/>
          <w:szCs w:val="20"/>
        </w:rPr>
      </w:pPr>
      <w:r w:rsidRPr="0037547B">
        <w:rPr>
          <w:rFonts w:ascii="Arial" w:hAnsi="Arial" w:cs="Arial"/>
          <w:sz w:val="20"/>
          <w:szCs w:val="20"/>
        </w:rPr>
        <w:t>Be able to recognise areas for potential improvement, as well as problem-solve past challenges or unsatisfactory experiences.</w:t>
      </w:r>
    </w:p>
    <w:p w:rsidR="0037547B" w:rsidRPr="0037547B" w:rsidRDefault="0037547B" w:rsidP="0037547B">
      <w:pPr>
        <w:pStyle w:val="ListParagraph"/>
        <w:numPr>
          <w:ilvl w:val="0"/>
          <w:numId w:val="2"/>
        </w:numPr>
        <w:spacing w:line="240" w:lineRule="exact"/>
        <w:rPr>
          <w:rFonts w:ascii="Arial" w:hAnsi="Arial" w:cs="Arial"/>
          <w:sz w:val="20"/>
          <w:szCs w:val="20"/>
        </w:rPr>
      </w:pPr>
      <w:r w:rsidRPr="0037547B">
        <w:rPr>
          <w:rFonts w:ascii="Arial" w:hAnsi="Arial" w:cs="Arial"/>
          <w:sz w:val="20"/>
          <w:szCs w:val="20"/>
        </w:rPr>
        <w:t>Understand the importance of the environment to successful learning.</w:t>
      </w:r>
    </w:p>
    <w:p w:rsidR="0037547B" w:rsidRPr="0037547B" w:rsidRDefault="0037547B" w:rsidP="0037547B">
      <w:pPr>
        <w:pStyle w:val="ListParagraph"/>
        <w:numPr>
          <w:ilvl w:val="0"/>
          <w:numId w:val="2"/>
        </w:numPr>
        <w:spacing w:line="240" w:lineRule="exact"/>
        <w:rPr>
          <w:rFonts w:ascii="Arial" w:hAnsi="Arial" w:cs="Arial"/>
          <w:sz w:val="20"/>
          <w:szCs w:val="20"/>
        </w:rPr>
      </w:pPr>
      <w:r w:rsidRPr="0037547B">
        <w:rPr>
          <w:rFonts w:ascii="Arial" w:hAnsi="Arial" w:cs="Arial"/>
          <w:sz w:val="20"/>
          <w:szCs w:val="20"/>
        </w:rPr>
        <w:lastRenderedPageBreak/>
        <w:t xml:space="preserve">Use appropriate resources to develop plans for student teaching. </w:t>
      </w:r>
    </w:p>
    <w:p w:rsidR="0037547B" w:rsidRPr="0037547B" w:rsidRDefault="0037547B" w:rsidP="0037547B">
      <w:pPr>
        <w:pStyle w:val="ListParagraph"/>
        <w:numPr>
          <w:ilvl w:val="0"/>
          <w:numId w:val="2"/>
        </w:numPr>
        <w:spacing w:line="240" w:lineRule="exact"/>
        <w:rPr>
          <w:rFonts w:ascii="Arial" w:hAnsi="Arial" w:cs="Arial"/>
          <w:sz w:val="20"/>
          <w:szCs w:val="20"/>
        </w:rPr>
      </w:pPr>
      <w:r w:rsidRPr="0037547B">
        <w:rPr>
          <w:rFonts w:ascii="Arial" w:hAnsi="Arial" w:cs="Arial"/>
          <w:sz w:val="20"/>
          <w:szCs w:val="20"/>
        </w:rPr>
        <w:t>Establish methods of developing students’ knowledge, technical skills and professionalism in the workplace.</w:t>
      </w:r>
    </w:p>
    <w:p w:rsidR="0037547B" w:rsidRPr="0037547B" w:rsidRDefault="0037547B" w:rsidP="0037547B">
      <w:pPr>
        <w:pStyle w:val="ListParagraph"/>
        <w:numPr>
          <w:ilvl w:val="0"/>
          <w:numId w:val="2"/>
        </w:numPr>
        <w:spacing w:line="240" w:lineRule="exact"/>
        <w:rPr>
          <w:rFonts w:ascii="Arial" w:hAnsi="Arial" w:cs="Arial"/>
          <w:sz w:val="20"/>
          <w:szCs w:val="20"/>
        </w:rPr>
      </w:pPr>
      <w:r w:rsidRPr="0037547B">
        <w:rPr>
          <w:rFonts w:ascii="Arial" w:hAnsi="Arial" w:cs="Arial"/>
          <w:sz w:val="20"/>
          <w:szCs w:val="20"/>
        </w:rPr>
        <w:t xml:space="preserve">Use appropriate models to help facilitate learning in specific areas, including clinical reasoning, surgical skills, professional behaviour and problem-solving, communication skills and veterinary business. </w:t>
      </w:r>
    </w:p>
    <w:p w:rsidR="0037547B" w:rsidRPr="0037547B" w:rsidRDefault="0037547B" w:rsidP="0037547B">
      <w:pPr>
        <w:pStyle w:val="ListParagraph"/>
        <w:numPr>
          <w:ilvl w:val="0"/>
          <w:numId w:val="2"/>
        </w:numPr>
        <w:spacing w:line="240" w:lineRule="exact"/>
        <w:rPr>
          <w:rFonts w:ascii="Arial" w:hAnsi="Arial" w:cs="Arial"/>
          <w:sz w:val="20"/>
          <w:szCs w:val="20"/>
        </w:rPr>
      </w:pPr>
      <w:r w:rsidRPr="0037547B">
        <w:rPr>
          <w:rFonts w:ascii="Arial" w:hAnsi="Arial" w:cs="Arial"/>
          <w:sz w:val="20"/>
          <w:szCs w:val="20"/>
        </w:rPr>
        <w:t>Competently use formative assessment of student ability to promote the student’s ongoing development.</w:t>
      </w: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b/>
          <w:szCs w:val="20"/>
        </w:rPr>
      </w:pPr>
      <w:r w:rsidRPr="0037547B">
        <w:rPr>
          <w:rFonts w:cs="Arial"/>
          <w:b/>
          <w:szCs w:val="20"/>
        </w:rPr>
        <w:t>Syllabus</w:t>
      </w:r>
    </w:p>
    <w:p w:rsidR="0037547B" w:rsidRPr="0037547B" w:rsidRDefault="0037547B" w:rsidP="0037547B">
      <w:pPr>
        <w:spacing w:after="0" w:line="240" w:lineRule="exact"/>
        <w:rPr>
          <w:rFonts w:cs="Arial"/>
          <w:b/>
          <w:szCs w:val="20"/>
        </w:rPr>
      </w:pPr>
    </w:p>
    <w:p w:rsidR="0037547B" w:rsidRPr="0037547B" w:rsidRDefault="0037547B" w:rsidP="0037547B">
      <w:pPr>
        <w:spacing w:after="0" w:line="240" w:lineRule="exact"/>
        <w:rPr>
          <w:rFonts w:cs="Arial"/>
          <w:szCs w:val="20"/>
        </w:rPr>
      </w:pPr>
      <w:r w:rsidRPr="0037547B">
        <w:rPr>
          <w:rFonts w:cs="Arial"/>
          <w:szCs w:val="20"/>
        </w:rPr>
        <w:t>At the end of the module, candidates should be able to:</w:t>
      </w:r>
    </w:p>
    <w:p w:rsidR="0037547B" w:rsidRPr="0037547B" w:rsidRDefault="0037547B" w:rsidP="0037547B">
      <w:pPr>
        <w:spacing w:after="0" w:line="240" w:lineRule="exact"/>
        <w:rPr>
          <w:rFonts w:cs="Arial"/>
          <w:b/>
          <w:szCs w:val="20"/>
        </w:rPr>
      </w:pPr>
    </w:p>
    <w:p w:rsidR="0037547B" w:rsidRPr="0037547B" w:rsidRDefault="0037547B" w:rsidP="0037547B">
      <w:pPr>
        <w:pStyle w:val="ListParagraph"/>
        <w:numPr>
          <w:ilvl w:val="0"/>
          <w:numId w:val="1"/>
        </w:numPr>
        <w:spacing w:line="240" w:lineRule="exact"/>
        <w:rPr>
          <w:rFonts w:ascii="Arial" w:hAnsi="Arial" w:cs="Arial"/>
          <w:sz w:val="20"/>
          <w:szCs w:val="20"/>
        </w:rPr>
      </w:pPr>
      <w:r w:rsidRPr="0037547B">
        <w:rPr>
          <w:rFonts w:ascii="Arial" w:hAnsi="Arial" w:cs="Arial"/>
          <w:sz w:val="20"/>
          <w:szCs w:val="20"/>
        </w:rPr>
        <w:t>Teaching and learning theory and its application to a workplace environment:</w:t>
      </w:r>
    </w:p>
    <w:p w:rsidR="0037547B" w:rsidRPr="0037547B" w:rsidRDefault="0037547B" w:rsidP="0037547B">
      <w:pPr>
        <w:pStyle w:val="ListParagraph"/>
        <w:numPr>
          <w:ilvl w:val="1"/>
          <w:numId w:val="1"/>
        </w:numPr>
        <w:spacing w:line="240" w:lineRule="exact"/>
        <w:rPr>
          <w:rFonts w:ascii="Arial" w:hAnsi="Arial" w:cs="Arial"/>
          <w:sz w:val="20"/>
          <w:szCs w:val="20"/>
        </w:rPr>
      </w:pPr>
      <w:r w:rsidRPr="0037547B">
        <w:rPr>
          <w:rFonts w:ascii="Arial" w:hAnsi="Arial" w:cs="Arial"/>
          <w:sz w:val="20"/>
          <w:szCs w:val="20"/>
        </w:rPr>
        <w:t>Apply relevant learning theory to the development of students in the work environment. Exemplar learning theories include cognitive load, experience-based learning, constructive alignment, student-centred learning, social constructivism, and deep and surface learning approaches.</w:t>
      </w:r>
    </w:p>
    <w:p w:rsidR="0037547B" w:rsidRPr="0037547B" w:rsidRDefault="0037547B" w:rsidP="0037547B">
      <w:pPr>
        <w:pStyle w:val="ListParagraph"/>
        <w:numPr>
          <w:ilvl w:val="1"/>
          <w:numId w:val="1"/>
        </w:numPr>
        <w:spacing w:line="240" w:lineRule="exact"/>
        <w:rPr>
          <w:rFonts w:ascii="Arial" w:hAnsi="Arial" w:cs="Arial"/>
          <w:sz w:val="20"/>
          <w:szCs w:val="20"/>
        </w:rPr>
      </w:pPr>
      <w:r w:rsidRPr="0037547B">
        <w:rPr>
          <w:rFonts w:ascii="Arial" w:hAnsi="Arial" w:cs="Arial"/>
          <w:sz w:val="20"/>
          <w:szCs w:val="20"/>
        </w:rPr>
        <w:t>Using an understanding of relevant learning theory, reflect on their own teaching, as well as their own experiences as learners, to identify areas for potential improvement, as well as problem-solve past challenges or unsatisfactory experiences.</w:t>
      </w:r>
    </w:p>
    <w:p w:rsidR="0037547B" w:rsidRPr="0037547B" w:rsidRDefault="0037547B" w:rsidP="0037547B">
      <w:pPr>
        <w:pStyle w:val="ListParagraph"/>
        <w:numPr>
          <w:ilvl w:val="1"/>
          <w:numId w:val="1"/>
        </w:numPr>
        <w:spacing w:line="240" w:lineRule="exact"/>
        <w:rPr>
          <w:rFonts w:ascii="Arial" w:hAnsi="Arial" w:cs="Arial"/>
          <w:sz w:val="20"/>
          <w:szCs w:val="20"/>
        </w:rPr>
      </w:pPr>
      <w:r w:rsidRPr="0037547B">
        <w:rPr>
          <w:rFonts w:ascii="Arial" w:hAnsi="Arial" w:cs="Arial"/>
          <w:sz w:val="20"/>
          <w:szCs w:val="20"/>
        </w:rPr>
        <w:t xml:space="preserve">Appreciate the importance of the environment to successful learning, and identify strengths and challenges of the workplace as a teaching environment. </w:t>
      </w:r>
    </w:p>
    <w:p w:rsidR="0037547B" w:rsidRPr="0037547B" w:rsidRDefault="0037547B" w:rsidP="0037547B">
      <w:pPr>
        <w:pStyle w:val="ListParagraph"/>
        <w:numPr>
          <w:ilvl w:val="1"/>
          <w:numId w:val="1"/>
        </w:numPr>
        <w:spacing w:line="240" w:lineRule="exact"/>
        <w:rPr>
          <w:rFonts w:ascii="Arial" w:hAnsi="Arial" w:cs="Arial"/>
          <w:sz w:val="20"/>
          <w:szCs w:val="20"/>
        </w:rPr>
      </w:pPr>
      <w:r w:rsidRPr="0037547B">
        <w:rPr>
          <w:rFonts w:ascii="Arial" w:hAnsi="Arial" w:cs="Arial"/>
          <w:sz w:val="20"/>
          <w:szCs w:val="20"/>
        </w:rPr>
        <w:t>Use appropriate literature and other resources to develop plans for student teaching in the veterinary workplace that optimise on the benefits and address the challenges.</w:t>
      </w:r>
    </w:p>
    <w:p w:rsidR="0037547B" w:rsidRPr="0037547B" w:rsidRDefault="0037547B" w:rsidP="0037547B">
      <w:pPr>
        <w:spacing w:after="0" w:line="240" w:lineRule="exact"/>
        <w:rPr>
          <w:rFonts w:cs="Arial"/>
          <w:szCs w:val="20"/>
        </w:rPr>
      </w:pPr>
    </w:p>
    <w:p w:rsidR="0037547B" w:rsidRPr="0037547B" w:rsidRDefault="0037547B" w:rsidP="0037547B">
      <w:pPr>
        <w:pStyle w:val="ListParagraph"/>
        <w:numPr>
          <w:ilvl w:val="0"/>
          <w:numId w:val="1"/>
        </w:numPr>
        <w:spacing w:line="240" w:lineRule="exact"/>
        <w:rPr>
          <w:rFonts w:ascii="Arial" w:hAnsi="Arial" w:cs="Arial"/>
          <w:sz w:val="20"/>
          <w:szCs w:val="20"/>
        </w:rPr>
      </w:pPr>
      <w:r w:rsidRPr="0037547B">
        <w:rPr>
          <w:rFonts w:ascii="Arial" w:hAnsi="Arial" w:cs="Arial"/>
          <w:sz w:val="20"/>
          <w:szCs w:val="20"/>
        </w:rPr>
        <w:t>Veterinary knowledge and skills development</w:t>
      </w:r>
    </w:p>
    <w:p w:rsidR="0037547B" w:rsidRPr="0037547B" w:rsidRDefault="0037547B" w:rsidP="0037547B">
      <w:pPr>
        <w:pStyle w:val="ListParagraph"/>
        <w:numPr>
          <w:ilvl w:val="1"/>
          <w:numId w:val="1"/>
        </w:numPr>
        <w:spacing w:line="240" w:lineRule="exact"/>
        <w:rPr>
          <w:rFonts w:ascii="Arial" w:hAnsi="Arial" w:cs="Arial"/>
          <w:sz w:val="20"/>
          <w:szCs w:val="20"/>
        </w:rPr>
      </w:pPr>
      <w:r w:rsidRPr="0037547B">
        <w:rPr>
          <w:rFonts w:ascii="Arial" w:hAnsi="Arial" w:cs="Arial"/>
          <w:sz w:val="20"/>
          <w:szCs w:val="20"/>
        </w:rPr>
        <w:t xml:space="preserve">Consider methods of developing students’ knowledge, technical skills and professionalism in the workplace, and use appropriate models to help facilitate learning in specific areas, including clinical reasoning, surgical skills, professional behaviour and problem-solving, communication skills and veterinary business. </w:t>
      </w:r>
    </w:p>
    <w:p w:rsidR="0037547B" w:rsidRPr="0037547B" w:rsidRDefault="0037547B" w:rsidP="0037547B">
      <w:pPr>
        <w:pStyle w:val="ListParagraph"/>
        <w:spacing w:line="240" w:lineRule="exact"/>
        <w:ind w:left="1440"/>
        <w:rPr>
          <w:rFonts w:ascii="Arial" w:hAnsi="Arial" w:cs="Arial"/>
          <w:sz w:val="20"/>
          <w:szCs w:val="20"/>
        </w:rPr>
      </w:pPr>
    </w:p>
    <w:p w:rsidR="0037547B" w:rsidRPr="0037547B" w:rsidRDefault="0037547B" w:rsidP="0037547B">
      <w:pPr>
        <w:pStyle w:val="ListParagraph"/>
        <w:numPr>
          <w:ilvl w:val="0"/>
          <w:numId w:val="1"/>
        </w:numPr>
        <w:spacing w:line="240" w:lineRule="exact"/>
        <w:rPr>
          <w:rFonts w:ascii="Arial" w:hAnsi="Arial" w:cs="Arial"/>
          <w:sz w:val="20"/>
          <w:szCs w:val="20"/>
        </w:rPr>
      </w:pPr>
      <w:r w:rsidRPr="0037547B">
        <w:rPr>
          <w:rFonts w:ascii="Arial" w:hAnsi="Arial" w:cs="Arial"/>
          <w:sz w:val="20"/>
          <w:szCs w:val="20"/>
        </w:rPr>
        <w:t>Assessment and feedback</w:t>
      </w:r>
    </w:p>
    <w:p w:rsidR="0037547B" w:rsidRPr="0037547B" w:rsidRDefault="0037547B" w:rsidP="0037547B">
      <w:pPr>
        <w:pStyle w:val="ListParagraph"/>
        <w:numPr>
          <w:ilvl w:val="1"/>
          <w:numId w:val="1"/>
        </w:numPr>
        <w:spacing w:line="240" w:lineRule="exact"/>
        <w:rPr>
          <w:rFonts w:ascii="Arial" w:hAnsi="Arial" w:cs="Arial"/>
          <w:sz w:val="20"/>
          <w:szCs w:val="20"/>
        </w:rPr>
      </w:pPr>
      <w:r w:rsidRPr="0037547B">
        <w:rPr>
          <w:rFonts w:ascii="Arial" w:hAnsi="Arial" w:cs="Arial"/>
          <w:sz w:val="20"/>
          <w:szCs w:val="20"/>
        </w:rPr>
        <w:t>Use formative assessment of student competence, including written and verbal feedback, to promote the student’s ongoing development, whether under your own supervision or elsewhere.</w:t>
      </w:r>
    </w:p>
    <w:p w:rsidR="0037547B" w:rsidRPr="0037547B" w:rsidRDefault="0037547B" w:rsidP="0037547B">
      <w:pPr>
        <w:pStyle w:val="ListParagraph"/>
        <w:numPr>
          <w:ilvl w:val="1"/>
          <w:numId w:val="1"/>
        </w:numPr>
        <w:spacing w:line="240" w:lineRule="exact"/>
        <w:rPr>
          <w:rFonts w:ascii="Arial" w:hAnsi="Arial" w:cs="Arial"/>
          <w:sz w:val="20"/>
          <w:szCs w:val="20"/>
        </w:rPr>
      </w:pPr>
      <w:r w:rsidRPr="0037547B">
        <w:rPr>
          <w:rFonts w:ascii="Arial" w:hAnsi="Arial" w:cs="Arial"/>
          <w:sz w:val="20"/>
          <w:szCs w:val="20"/>
        </w:rPr>
        <w:t xml:space="preserve">Using relevant literature and feedback models, as well as resources on challenging communications, reflect on the success of past experiences in giving feedback, and develop strategies to improve the effectiveness of feedback provided. </w:t>
      </w: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b/>
          <w:szCs w:val="20"/>
        </w:rPr>
      </w:pPr>
      <w:r w:rsidRPr="0037547B">
        <w:rPr>
          <w:rFonts w:cs="Arial"/>
          <w:b/>
          <w:szCs w:val="20"/>
        </w:rPr>
        <w:t>Assessment Strategy</w:t>
      </w: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szCs w:val="20"/>
        </w:rPr>
      </w:pPr>
      <w:r w:rsidRPr="0037547B">
        <w:rPr>
          <w:rFonts w:cs="Arial"/>
          <w:szCs w:val="20"/>
        </w:rPr>
        <w:t>Module providers are responsible for deciding on assessment strategies and methods, subject to accreditation by RCVS. The following general guidance applies to assessment of this module:</w:t>
      </w:r>
    </w:p>
    <w:p w:rsidR="0037547B" w:rsidRPr="0037547B" w:rsidRDefault="0037547B" w:rsidP="0037547B">
      <w:pPr>
        <w:spacing w:after="0" w:line="240" w:lineRule="exact"/>
        <w:rPr>
          <w:rFonts w:cs="Arial"/>
          <w:szCs w:val="20"/>
        </w:rPr>
      </w:pPr>
    </w:p>
    <w:p w:rsidR="0037547B" w:rsidRPr="0037547B" w:rsidRDefault="0037547B" w:rsidP="0037547B">
      <w:pPr>
        <w:pStyle w:val="ListParagraph"/>
        <w:numPr>
          <w:ilvl w:val="0"/>
          <w:numId w:val="4"/>
        </w:numPr>
        <w:spacing w:line="240" w:lineRule="exact"/>
        <w:rPr>
          <w:rFonts w:ascii="Arial" w:hAnsi="Arial" w:cs="Arial"/>
          <w:sz w:val="20"/>
          <w:szCs w:val="20"/>
        </w:rPr>
      </w:pPr>
      <w:r w:rsidRPr="0037547B">
        <w:rPr>
          <w:rFonts w:ascii="Arial" w:hAnsi="Arial" w:cs="Arial"/>
          <w:sz w:val="20"/>
          <w:szCs w:val="20"/>
        </w:rPr>
        <w:t>Assessment will be in accordance with the general requirement for the CertAVP qualification to be benchmarked against the Quality Assurance Agency’s (QAA) “M” level in the national qualifications framework.</w:t>
      </w:r>
    </w:p>
    <w:p w:rsidR="0037547B" w:rsidRPr="0037547B" w:rsidRDefault="0037547B" w:rsidP="0037547B">
      <w:pPr>
        <w:pStyle w:val="ListParagraph"/>
        <w:spacing w:line="240" w:lineRule="exact"/>
        <w:rPr>
          <w:rFonts w:ascii="Arial" w:hAnsi="Arial" w:cs="Arial"/>
          <w:sz w:val="20"/>
          <w:szCs w:val="20"/>
        </w:rPr>
      </w:pPr>
    </w:p>
    <w:p w:rsidR="0037547B" w:rsidRPr="0037547B" w:rsidRDefault="0037547B" w:rsidP="0037547B">
      <w:pPr>
        <w:pStyle w:val="ListParagraph"/>
        <w:numPr>
          <w:ilvl w:val="0"/>
          <w:numId w:val="4"/>
        </w:numPr>
        <w:spacing w:line="240" w:lineRule="exact"/>
        <w:rPr>
          <w:rFonts w:ascii="Arial" w:hAnsi="Arial" w:cs="Arial"/>
          <w:sz w:val="20"/>
          <w:szCs w:val="20"/>
        </w:rPr>
      </w:pPr>
      <w:r w:rsidRPr="0037547B">
        <w:rPr>
          <w:rFonts w:ascii="Arial" w:hAnsi="Arial" w:cs="Arial"/>
          <w:sz w:val="20"/>
          <w:szCs w:val="20"/>
        </w:rPr>
        <w:t>Assessment will support the RCVS requirement for the module to be accessible to candidates from a wide variety of veterinary background.</w:t>
      </w: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szCs w:val="20"/>
        </w:rPr>
      </w:pPr>
      <w:r w:rsidRPr="0037547B">
        <w:rPr>
          <w:rFonts w:cs="Arial"/>
          <w:szCs w:val="20"/>
        </w:rPr>
        <w:t>Assessment will be aimed at encouraging learning and at measuring progress towards the intended learning outcomes of the module.</w:t>
      </w:r>
    </w:p>
    <w:p w:rsidR="0037547B" w:rsidRPr="0037547B" w:rsidRDefault="0037547B" w:rsidP="0037547B">
      <w:pPr>
        <w:spacing w:after="0" w:line="240" w:lineRule="exact"/>
        <w:rPr>
          <w:rFonts w:cs="Arial"/>
          <w:szCs w:val="20"/>
        </w:rPr>
      </w:pPr>
    </w:p>
    <w:p w:rsidR="0037547B" w:rsidRPr="0037547B" w:rsidRDefault="0037547B" w:rsidP="0037547B">
      <w:pPr>
        <w:spacing w:after="0" w:line="240" w:lineRule="exact"/>
        <w:rPr>
          <w:rFonts w:cs="Arial"/>
          <w:szCs w:val="20"/>
        </w:rPr>
      </w:pPr>
      <w:r w:rsidRPr="0037547B">
        <w:rPr>
          <w:rFonts w:cs="Arial"/>
          <w:szCs w:val="20"/>
        </w:rPr>
        <w:t>The following assessment methods may be appropriate to this module:</w:t>
      </w:r>
    </w:p>
    <w:p w:rsidR="0037547B" w:rsidRPr="0037547B" w:rsidRDefault="0037547B" w:rsidP="0037547B">
      <w:pPr>
        <w:spacing w:after="0" w:line="240" w:lineRule="exact"/>
        <w:rPr>
          <w:rFonts w:cs="Arial"/>
          <w:szCs w:val="20"/>
        </w:rPr>
      </w:pPr>
    </w:p>
    <w:p w:rsidR="0037547B" w:rsidRPr="0037547B" w:rsidRDefault="0037547B" w:rsidP="0037547B">
      <w:pPr>
        <w:pStyle w:val="ListParagraph"/>
        <w:numPr>
          <w:ilvl w:val="0"/>
          <w:numId w:val="3"/>
        </w:numPr>
        <w:spacing w:line="240" w:lineRule="exact"/>
        <w:rPr>
          <w:rFonts w:ascii="Arial" w:hAnsi="Arial" w:cs="Arial"/>
          <w:sz w:val="20"/>
          <w:szCs w:val="20"/>
        </w:rPr>
      </w:pPr>
      <w:r w:rsidRPr="0037547B">
        <w:rPr>
          <w:rFonts w:ascii="Arial" w:hAnsi="Arial" w:cs="Arial"/>
          <w:sz w:val="20"/>
          <w:szCs w:val="20"/>
        </w:rPr>
        <w:t>diary of experience</w:t>
      </w:r>
    </w:p>
    <w:p w:rsidR="0037547B" w:rsidRPr="0037547B" w:rsidRDefault="0037547B" w:rsidP="0037547B">
      <w:pPr>
        <w:pStyle w:val="ListParagraph"/>
        <w:numPr>
          <w:ilvl w:val="0"/>
          <w:numId w:val="3"/>
        </w:numPr>
        <w:spacing w:line="240" w:lineRule="exact"/>
        <w:rPr>
          <w:rFonts w:ascii="Arial" w:hAnsi="Arial" w:cs="Arial"/>
          <w:sz w:val="20"/>
          <w:szCs w:val="20"/>
        </w:rPr>
      </w:pPr>
      <w:r w:rsidRPr="0037547B">
        <w:rPr>
          <w:rFonts w:ascii="Arial" w:hAnsi="Arial" w:cs="Arial"/>
          <w:sz w:val="20"/>
          <w:szCs w:val="20"/>
        </w:rPr>
        <w:t>reflective essays</w:t>
      </w:r>
    </w:p>
    <w:p w:rsidR="0037547B" w:rsidRPr="0037547B" w:rsidRDefault="0037547B" w:rsidP="0037547B">
      <w:pPr>
        <w:pStyle w:val="ListParagraph"/>
        <w:numPr>
          <w:ilvl w:val="0"/>
          <w:numId w:val="3"/>
        </w:numPr>
        <w:spacing w:line="240" w:lineRule="exact"/>
        <w:rPr>
          <w:rFonts w:ascii="Arial" w:hAnsi="Arial" w:cs="Arial"/>
          <w:sz w:val="20"/>
          <w:szCs w:val="20"/>
        </w:rPr>
      </w:pPr>
      <w:r w:rsidRPr="0037547B">
        <w:rPr>
          <w:rFonts w:ascii="Arial" w:hAnsi="Arial" w:cs="Arial"/>
          <w:sz w:val="20"/>
          <w:szCs w:val="20"/>
        </w:rPr>
        <w:t>a final synopsis of learning</w:t>
      </w:r>
    </w:p>
    <w:p w:rsidR="0037547B" w:rsidRPr="0037547B" w:rsidRDefault="0037547B" w:rsidP="0037547B">
      <w:pPr>
        <w:pStyle w:val="ListParagraph"/>
        <w:numPr>
          <w:ilvl w:val="0"/>
          <w:numId w:val="3"/>
        </w:numPr>
        <w:spacing w:line="240" w:lineRule="exact"/>
        <w:rPr>
          <w:rFonts w:ascii="Arial" w:hAnsi="Arial" w:cs="Arial"/>
          <w:sz w:val="20"/>
          <w:szCs w:val="20"/>
        </w:rPr>
      </w:pPr>
      <w:r w:rsidRPr="0037547B">
        <w:rPr>
          <w:rFonts w:ascii="Arial" w:hAnsi="Arial" w:cs="Arial"/>
          <w:sz w:val="20"/>
          <w:szCs w:val="20"/>
        </w:rPr>
        <w:t>workplace based assessment</w:t>
      </w:r>
    </w:p>
    <w:p w:rsidR="00BA7C3B" w:rsidRPr="0037547B" w:rsidRDefault="00BA7C3B" w:rsidP="0037547B">
      <w:pPr>
        <w:spacing w:before="100" w:beforeAutospacing="1" w:after="100" w:afterAutospacing="1" w:line="240" w:lineRule="exact"/>
        <w:contextualSpacing w:val="0"/>
        <w:rPr>
          <w:rFonts w:eastAsiaTheme="minorHAnsi" w:cs="Arial"/>
          <w:szCs w:val="20"/>
        </w:rPr>
      </w:pPr>
    </w:p>
    <w:sectPr w:rsidR="00BA7C3B" w:rsidRPr="0037547B" w:rsidSect="00BA7C3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47B" w:rsidRDefault="0037547B" w:rsidP="0037547B">
      <w:pPr>
        <w:spacing w:after="0" w:line="240" w:lineRule="auto"/>
      </w:pPr>
      <w:r>
        <w:separator/>
      </w:r>
    </w:p>
  </w:endnote>
  <w:endnote w:type="continuationSeparator" w:id="0">
    <w:p w:rsidR="0037547B" w:rsidRDefault="0037547B" w:rsidP="003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47B" w:rsidRDefault="0037547B">
    <w:pPr>
      <w:pStyle w:val="Footer"/>
      <w:jc w:val="right"/>
    </w:pPr>
    <w:r>
      <w:t>April 2017</w:t>
    </w:r>
    <w:r>
      <w:tab/>
    </w:r>
    <w:r>
      <w:tab/>
    </w:r>
    <w:sdt>
      <w:sdtPr>
        <w:id w:val="28903725"/>
        <w:docPartObj>
          <w:docPartGallery w:val="Page Numbers (Bottom of Page)"/>
          <w:docPartUnique/>
        </w:docPartObj>
      </w:sdtPr>
      <w:sdtEndPr/>
      <w:sdtContent>
        <w:sdt>
          <w:sdtPr>
            <w:id w:val="565050523"/>
            <w:docPartObj>
              <w:docPartGallery w:val="Page Numbers (Top of Page)"/>
              <w:docPartUnique/>
            </w:docPartObj>
          </w:sdtPr>
          <w:sdtEndPr/>
          <w:sdtContent>
            <w:r>
              <w:t xml:space="preserve">Page </w:t>
            </w:r>
            <w:r>
              <w:rPr>
                <w:b/>
                <w:sz w:val="24"/>
                <w:szCs w:val="24"/>
              </w:rPr>
              <w:fldChar w:fldCharType="begin"/>
            </w:r>
            <w:r>
              <w:rPr>
                <w:b/>
              </w:rPr>
              <w:instrText xml:space="preserve"> PAGE </w:instrText>
            </w:r>
            <w:r>
              <w:rPr>
                <w:b/>
                <w:sz w:val="24"/>
                <w:szCs w:val="24"/>
              </w:rPr>
              <w:fldChar w:fldCharType="separate"/>
            </w:r>
            <w:r w:rsidR="003B107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B1075">
              <w:rPr>
                <w:b/>
                <w:noProof/>
              </w:rPr>
              <w:t>3</w:t>
            </w:r>
            <w:r>
              <w:rPr>
                <w:b/>
                <w:sz w:val="24"/>
                <w:szCs w:val="24"/>
              </w:rPr>
              <w:fldChar w:fldCharType="end"/>
            </w:r>
          </w:sdtContent>
        </w:sdt>
      </w:sdtContent>
    </w:sdt>
  </w:p>
  <w:p w:rsidR="0037547B" w:rsidRDefault="0037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47B" w:rsidRDefault="0037547B" w:rsidP="0037547B">
      <w:pPr>
        <w:spacing w:after="0" w:line="240" w:lineRule="auto"/>
      </w:pPr>
      <w:r>
        <w:separator/>
      </w:r>
    </w:p>
  </w:footnote>
  <w:footnote w:type="continuationSeparator" w:id="0">
    <w:p w:rsidR="0037547B" w:rsidRDefault="0037547B" w:rsidP="00375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FFD"/>
    <w:multiLevelType w:val="hybridMultilevel"/>
    <w:tmpl w:val="D510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74D9E"/>
    <w:multiLevelType w:val="hybridMultilevel"/>
    <w:tmpl w:val="B182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E1DCA"/>
    <w:multiLevelType w:val="hybridMultilevel"/>
    <w:tmpl w:val="EB86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71284"/>
    <w:multiLevelType w:val="hybridMultilevel"/>
    <w:tmpl w:val="46D6FB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8231A"/>
    <w:multiLevelType w:val="hybridMultilevel"/>
    <w:tmpl w:val="BE6A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7B"/>
    <w:rsid w:val="00181797"/>
    <w:rsid w:val="0032622D"/>
    <w:rsid w:val="0037547B"/>
    <w:rsid w:val="003B1075"/>
    <w:rsid w:val="00423243"/>
    <w:rsid w:val="004505D3"/>
    <w:rsid w:val="00B473E2"/>
    <w:rsid w:val="00BA7C3B"/>
    <w:rsid w:val="00C21D0D"/>
    <w:rsid w:val="00CC0E00"/>
    <w:rsid w:val="00DC6BED"/>
    <w:rsid w:val="00DE78DE"/>
    <w:rsid w:val="00E4068C"/>
    <w:rsid w:val="00EA22C0"/>
    <w:rsid w:val="00F13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D0232-76C6-4135-8A64-3558ACA7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47B"/>
    <w:pPr>
      <w:spacing w:before="0" w:beforeAutospacing="0" w:after="200" w:afterAutospacing="0" w:line="300" w:lineRule="atLeast"/>
      <w:contextualSpacing/>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47B"/>
    <w:pPr>
      <w:spacing w:after="0" w:line="240" w:lineRule="auto"/>
      <w:ind w:left="720"/>
    </w:pPr>
    <w:rPr>
      <w:rFonts w:ascii="Calibri" w:eastAsiaTheme="minorHAnsi" w:hAnsi="Calibri"/>
      <w:sz w:val="22"/>
    </w:rPr>
  </w:style>
  <w:style w:type="table" w:styleId="TableGrid">
    <w:name w:val="Table Grid"/>
    <w:basedOn w:val="TableNormal"/>
    <w:uiPriority w:val="59"/>
    <w:rsid w:val="0037547B"/>
    <w:pPr>
      <w:spacing w:before="0" w:beforeAutospacing="0" w:after="0" w:afterAutospacing="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754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547B"/>
    <w:rPr>
      <w:rFonts w:ascii="Arial" w:eastAsia="Calibri" w:hAnsi="Arial" w:cs="Times New Roman"/>
      <w:sz w:val="20"/>
    </w:rPr>
  </w:style>
  <w:style w:type="paragraph" w:styleId="Footer">
    <w:name w:val="footer"/>
    <w:basedOn w:val="Normal"/>
    <w:link w:val="FooterChar"/>
    <w:uiPriority w:val="99"/>
    <w:unhideWhenUsed/>
    <w:rsid w:val="00375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47B"/>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dc:creator>
  <cp:lastModifiedBy>Britta Crawford</cp:lastModifiedBy>
  <cp:revision>2</cp:revision>
  <dcterms:created xsi:type="dcterms:W3CDTF">2018-06-26T13:36:00Z</dcterms:created>
  <dcterms:modified xsi:type="dcterms:W3CDTF">2018-06-26T13:36:00Z</dcterms:modified>
</cp:coreProperties>
</file>